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BD6" w:rsidRDefault="00F46BD6">
      <w:pPr>
        <w:pStyle w:val="Heading1"/>
        <w:ind w:left="0"/>
        <w:rPr>
          <w:rFonts w:ascii="Arial" w:hAnsi="Arial"/>
          <w:sz w:val="28"/>
        </w:rPr>
      </w:pPr>
      <w:r>
        <w:rPr>
          <w:sz w:val="28"/>
        </w:rPr>
        <w:tab/>
      </w:r>
      <w:r>
        <w:rPr>
          <w:sz w:val="28"/>
        </w:rPr>
        <w:tab/>
        <w:t xml:space="preserve">        </w:t>
      </w:r>
      <w:r>
        <w:rPr>
          <w:rFonts w:ascii="Arial" w:hAnsi="Arial"/>
          <w:sz w:val="28"/>
        </w:rPr>
        <w:t>Commercial Motor Vehicle Consulting</w:t>
      </w:r>
    </w:p>
    <w:p w:rsidR="00F46BD6" w:rsidRDefault="00F46BD6">
      <w:pPr>
        <w:pStyle w:val="Heading2"/>
        <w:pBdr>
          <w:top w:val="single" w:sz="12" w:space="1" w:color="auto"/>
          <w:bottom w:val="single" w:sz="12" w:space="1" w:color="auto"/>
        </w:pBdr>
        <w:shd w:val="clear" w:color="auto" w:fill="0000FF"/>
        <w:rPr>
          <w:color w:val="FFFFFF"/>
          <w:sz w:val="24"/>
        </w:rPr>
      </w:pPr>
      <w:r>
        <w:rPr>
          <w:sz w:val="24"/>
        </w:rPr>
        <w:t xml:space="preserve">  </w:t>
      </w:r>
      <w:r>
        <w:rPr>
          <w:color w:val="FFFFFF"/>
          <w:sz w:val="24"/>
        </w:rPr>
        <w:t>Marketing Analysis and Research to Help Companies Plan for a Changing Environment</w:t>
      </w:r>
    </w:p>
    <w:p w:rsidR="0005234D" w:rsidRDefault="0005234D" w:rsidP="00B17627">
      <w:pPr>
        <w:jc w:val="both"/>
      </w:pPr>
    </w:p>
    <w:p w:rsidR="009E311B" w:rsidRPr="006B4DCC" w:rsidRDefault="00A01FCD" w:rsidP="009E311B">
      <w:pPr>
        <w:jc w:val="center"/>
        <w:rPr>
          <w:rFonts w:ascii="Arial" w:hAnsi="Arial"/>
          <w:sz w:val="28"/>
          <w:szCs w:val="28"/>
        </w:rPr>
      </w:pPr>
      <w:r>
        <w:rPr>
          <w:rFonts w:ascii="Arial" w:hAnsi="Arial"/>
          <w:sz w:val="28"/>
          <w:szCs w:val="28"/>
        </w:rPr>
        <w:t>January</w:t>
      </w:r>
      <w:r w:rsidR="00E25640">
        <w:rPr>
          <w:rFonts w:ascii="Arial" w:hAnsi="Arial"/>
          <w:sz w:val="28"/>
          <w:szCs w:val="28"/>
        </w:rPr>
        <w:t xml:space="preserve"> 2</w:t>
      </w:r>
      <w:r w:rsidR="00087AB0">
        <w:rPr>
          <w:rFonts w:ascii="Arial" w:hAnsi="Arial"/>
          <w:sz w:val="28"/>
          <w:szCs w:val="28"/>
        </w:rPr>
        <w:t>0</w:t>
      </w:r>
      <w:r w:rsidR="00E25640">
        <w:rPr>
          <w:rFonts w:ascii="Arial" w:hAnsi="Arial"/>
          <w:sz w:val="28"/>
          <w:szCs w:val="28"/>
        </w:rPr>
        <w:t>1</w:t>
      </w:r>
      <w:r>
        <w:rPr>
          <w:rFonts w:ascii="Arial" w:hAnsi="Arial"/>
          <w:sz w:val="28"/>
          <w:szCs w:val="28"/>
        </w:rPr>
        <w:t>6</w:t>
      </w:r>
    </w:p>
    <w:p w:rsidR="00424898" w:rsidRDefault="00424898" w:rsidP="009E311B">
      <w:pPr>
        <w:jc w:val="both"/>
      </w:pPr>
    </w:p>
    <w:p w:rsidR="009E311B" w:rsidRDefault="009E311B" w:rsidP="009E311B">
      <w:pPr>
        <w:jc w:val="center"/>
        <w:rPr>
          <w:rFonts w:ascii="Arial" w:hAnsi="Arial"/>
          <w:sz w:val="32"/>
          <w:szCs w:val="32"/>
        </w:rPr>
      </w:pPr>
      <w:r w:rsidRPr="00AC7299">
        <w:rPr>
          <w:rFonts w:ascii="Arial" w:hAnsi="Arial"/>
          <w:sz w:val="32"/>
          <w:szCs w:val="32"/>
        </w:rPr>
        <w:t>CV Parts Aftermarket Leading Indicator (PLI)</w:t>
      </w:r>
    </w:p>
    <w:p w:rsidR="009E311B" w:rsidRDefault="009E311B" w:rsidP="009E311B"/>
    <w:p w:rsidR="00E67099" w:rsidRDefault="00303EBC" w:rsidP="00325288">
      <w:pPr>
        <w:jc w:val="center"/>
        <w:rPr>
          <w:b/>
        </w:rPr>
      </w:pPr>
      <w:r>
        <w:rPr>
          <w:b/>
        </w:rPr>
        <w:t xml:space="preserve">PLI </w:t>
      </w:r>
      <w:r w:rsidR="00607B4B">
        <w:rPr>
          <w:b/>
        </w:rPr>
        <w:t>Decreased 0.</w:t>
      </w:r>
      <w:r w:rsidR="00A01FCD">
        <w:rPr>
          <w:b/>
        </w:rPr>
        <w:t>5</w:t>
      </w:r>
      <w:r w:rsidR="00607B4B">
        <w:rPr>
          <w:b/>
        </w:rPr>
        <w:t xml:space="preserve">% in </w:t>
      </w:r>
      <w:r w:rsidR="00A01FCD">
        <w:rPr>
          <w:b/>
        </w:rPr>
        <w:t>January</w:t>
      </w:r>
      <w:r w:rsidR="00325288">
        <w:rPr>
          <w:b/>
        </w:rPr>
        <w:t xml:space="preserve"> from </w:t>
      </w:r>
      <w:r w:rsidR="00A01FCD">
        <w:rPr>
          <w:b/>
        </w:rPr>
        <w:t>December</w:t>
      </w:r>
    </w:p>
    <w:p w:rsidR="00325288" w:rsidRDefault="00325288" w:rsidP="00325288"/>
    <w:p w:rsidR="00753DD1" w:rsidRDefault="00645160" w:rsidP="00E67099">
      <w:pPr>
        <w:jc w:val="both"/>
      </w:pPr>
      <w:r w:rsidRPr="00DF6302">
        <w:rPr>
          <w:noProof/>
        </w:rPr>
        <w:drawing>
          <wp:anchor distT="0" distB="0" distL="114300" distR="114300" simplePos="0" relativeHeight="251713536" behindDoc="0" locked="0" layoutInCell="1" allowOverlap="1" wp14:anchorId="6D5E18A2" wp14:editId="4DE3F04B">
            <wp:simplePos x="0" y="0"/>
            <wp:positionH relativeFrom="column">
              <wp:posOffset>482600</wp:posOffset>
            </wp:positionH>
            <wp:positionV relativeFrom="paragraph">
              <wp:posOffset>2776220</wp:posOffset>
            </wp:positionV>
            <wp:extent cx="4805680" cy="3606800"/>
            <wp:effectExtent l="19050" t="19050" r="13970" b="1270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05680" cy="36068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E67099">
        <w:t>Commercial Motor Vehicle Consulting (CMVC) CV Parts Aftermarket Leading Indicator (PLI) decreased 0.</w:t>
      </w:r>
      <w:r w:rsidR="00A01FCD">
        <w:t>5</w:t>
      </w:r>
      <w:r w:rsidR="00E67099">
        <w:t xml:space="preserve">% in </w:t>
      </w:r>
      <w:r w:rsidR="00A01FCD">
        <w:t>January</w:t>
      </w:r>
      <w:r w:rsidR="00E67099">
        <w:t xml:space="preserve"> following a 0.</w:t>
      </w:r>
      <w:r w:rsidR="00715C63">
        <w:t>6</w:t>
      </w:r>
      <w:r w:rsidR="00E67099">
        <w:t xml:space="preserve">% decrease in </w:t>
      </w:r>
      <w:r w:rsidR="00A01FCD">
        <w:t>December</w:t>
      </w:r>
      <w:r w:rsidR="00E67099">
        <w:t xml:space="preserve">.  </w:t>
      </w:r>
      <w:r w:rsidR="00715C63">
        <w:t xml:space="preserve">PLI decreased for the </w:t>
      </w:r>
      <w:r w:rsidR="00A01FCD">
        <w:t>sixth</w:t>
      </w:r>
      <w:r w:rsidR="00325288">
        <w:t xml:space="preserve"> consecutive month, signaling </w:t>
      </w:r>
      <w:r w:rsidR="00AD3D5C">
        <w:t>the</w:t>
      </w:r>
      <w:r w:rsidR="00A01FCD">
        <w:t xml:space="preserve"> inventory correction continues to weigh on the linehaul freight environment</w:t>
      </w:r>
      <w:r w:rsidR="00D572E1">
        <w:t xml:space="preserve">, while </w:t>
      </w:r>
      <w:r w:rsidR="00A01FCD">
        <w:t>local/regional freight volumes expand</w:t>
      </w:r>
      <w:r w:rsidR="00D572E1">
        <w:t xml:space="preserve"> </w:t>
      </w:r>
      <w:r w:rsidR="00A01FCD">
        <w:t>at sluggish to moderate growth rates.  PLI remains at relatively high level</w:t>
      </w:r>
      <w:r w:rsidR="00D572E1">
        <w:t xml:space="preserve">s signaling fleets are not making substantial changes to operations, such as return lease vehicles early, so </w:t>
      </w:r>
      <w:r w:rsidR="00753DD1">
        <w:t>parts aftermarket sales will continue to be driven by vehicle demographic factors instead of cyclical factors.  The decline in PLI is evident by the reduction in orders for Class 8 trucks as linehaul fleets have reduced expectations of 2016 capacity requirements as the gap between freight volumes and truck capacity decreased in 2015, as a result of a sluggish freight environment combined with moderate expansion in truck capacity.  The decline in PLI during 2015 signaled lower Class 8 truck sales in 2016, but not a downturn in parts aftermarket sales, as PLI remains at relatively high levels</w:t>
      </w:r>
      <w:r w:rsidR="00AD3D5C">
        <w:t xml:space="preserve">, implying truck population depreciating at normal rates.  </w:t>
      </w:r>
      <w:r w:rsidR="00753DD1">
        <w:t xml:space="preserve">   </w:t>
      </w:r>
    </w:p>
    <w:p w:rsidR="00E3341F" w:rsidRDefault="00645160" w:rsidP="00E67099">
      <w:pPr>
        <w:jc w:val="both"/>
      </w:pPr>
      <w:r w:rsidRPr="00645160">
        <w:rPr>
          <w:noProof/>
        </w:rPr>
        <w:lastRenderedPageBreak/>
        <w:drawing>
          <wp:anchor distT="0" distB="0" distL="114300" distR="114300" simplePos="0" relativeHeight="251714560" behindDoc="0" locked="0" layoutInCell="1" allowOverlap="1">
            <wp:simplePos x="1143000" y="914400"/>
            <wp:positionH relativeFrom="column">
              <wp:align>center</wp:align>
            </wp:positionH>
            <wp:positionV relativeFrom="paragraph">
              <wp:posOffset>0</wp:posOffset>
            </wp:positionV>
            <wp:extent cx="4572000" cy="3429000"/>
            <wp:effectExtent l="19050" t="19050" r="19050" b="190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3429000"/>
                    </a:xfrm>
                    <a:prstGeom prst="rect">
                      <a:avLst/>
                    </a:prstGeom>
                    <a:ln w="19050">
                      <a:solidFill>
                        <a:schemeClr val="tx1"/>
                      </a:solidFill>
                    </a:ln>
                  </pic:spPr>
                </pic:pic>
              </a:graphicData>
            </a:graphic>
            <wp14:sizeRelH relativeFrom="margin">
              <wp14:pctWidth>0</wp14:pctWidth>
            </wp14:sizeRelH>
          </wp:anchor>
        </w:drawing>
      </w:r>
    </w:p>
    <w:p w:rsidR="00E3341F" w:rsidRDefault="00E3341F" w:rsidP="00E67099">
      <w:pPr>
        <w:jc w:val="both"/>
      </w:pPr>
    </w:p>
    <w:p w:rsidR="00645160" w:rsidRDefault="009B735C" w:rsidP="00E67099">
      <w:pPr>
        <w:jc w:val="both"/>
      </w:pPr>
      <w:r>
        <w:t xml:space="preserve">The upward trend in medium and heavy duty truck sales since the trough of the Great Recession implies an increasing number of newer model vehicles are depreciating and coming in for their first parts’ repair/replacement, such as brake drum, brake rotors, fan clutches and alternators.  The decline in Class 8 truck sales in 2016 will not impact parts aftermarket sales of general maintenance parts, such as brake drums/rotors, fan clutches and alternators, due to the depreciation rate of these parts.  The decline in Class 8 truck sales in 2016 will slow the growth rate of preventive maintenance parts, such as oil filters, motor oil and air filters, since these items depreciate relatively fast as reflected by short mileage intervals.  </w:t>
      </w:r>
      <w:r w:rsidR="007F4201">
        <w:t>The Class 8 truck population will expand in 2016, but at a s</w:t>
      </w:r>
      <w:r w:rsidR="00AD3D5C">
        <w:t>lower growth rate than 2015, implying slower sales growth of high frequency parts, such as motor oil filters.</w:t>
      </w:r>
    </w:p>
    <w:p w:rsidR="007F4201" w:rsidRDefault="007F4201" w:rsidP="00E67099">
      <w:pPr>
        <w:jc w:val="both"/>
      </w:pPr>
    </w:p>
    <w:p w:rsidR="007F4201" w:rsidRDefault="00E97C2C" w:rsidP="00E67099">
      <w:pPr>
        <w:jc w:val="both"/>
      </w:pPr>
      <w:r>
        <w:t xml:space="preserve">Medium duty truck sales will trend upward in 2016 due to sluggish-to-moderate growth in shipment activity and an aging </w:t>
      </w:r>
      <w:r w:rsidR="005E6217">
        <w:t xml:space="preserve">truck </w:t>
      </w:r>
      <w:r>
        <w:t>population needs to be upgraded.  This implies slightly stronger growth of high turnover parts, such as motor oil filters, and higher parts aftermarket sales of general maintenance parts, such as brake drums/rotors, as the number of newer model trucks depreciating is expanding, implying an increasing number of newer model trucks coming in for their first parts’ repair/replacement.  Parts aftermarket sales are correlated with new truck sales volumes,</w:t>
      </w:r>
      <w:r w:rsidR="00F005A7">
        <w:t xml:space="preserve"> but there is a lag in the correlation, based upon parts’ depreciation rates</w:t>
      </w:r>
      <w:r w:rsidR="00A7681E">
        <w:t xml:space="preserve"> and this correlation is strong as long as fleet utilization is high, resulting in the truck population depreciating at normal rates.  </w:t>
      </w:r>
      <w:r w:rsidR="00F005A7">
        <w:t xml:space="preserve">Cyclical factors overwhelm vehicle demographic factors in determining parts aftermarket sales, when </w:t>
      </w:r>
      <w:r w:rsidR="00A7681E">
        <w:t xml:space="preserve">there are large changes in fleet utilization (recession/recovery) </w:t>
      </w:r>
      <w:r w:rsidR="00F005A7">
        <w:t>result</w:t>
      </w:r>
      <w:r w:rsidR="00A7681E">
        <w:t>s</w:t>
      </w:r>
      <w:r w:rsidR="00F005A7">
        <w:t xml:space="preserve"> in substantial changes in fleet operations.  Class 8 fleet capacity utilization has decreased, but remains at relatively high rates.</w:t>
      </w:r>
      <w:r>
        <w:t xml:space="preserve">  </w:t>
      </w:r>
    </w:p>
    <w:p w:rsidR="009F7B2E" w:rsidRDefault="00495C9A" w:rsidP="00E67099">
      <w:pPr>
        <w:jc w:val="both"/>
      </w:pPr>
      <w:r w:rsidRPr="00495C9A">
        <w:rPr>
          <w:noProof/>
        </w:rPr>
        <w:lastRenderedPageBreak/>
        <w:drawing>
          <wp:anchor distT="0" distB="0" distL="114300" distR="114300" simplePos="0" relativeHeight="251716608" behindDoc="0" locked="0" layoutInCell="1" allowOverlap="1" wp14:anchorId="5F848CE9" wp14:editId="7B1EA6ED">
            <wp:simplePos x="0" y="0"/>
            <wp:positionH relativeFrom="column">
              <wp:posOffset>539115</wp:posOffset>
            </wp:positionH>
            <wp:positionV relativeFrom="paragraph">
              <wp:posOffset>4892675</wp:posOffset>
            </wp:positionV>
            <wp:extent cx="4413250" cy="3308350"/>
            <wp:effectExtent l="19050" t="19050" r="25400" b="2540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13250" cy="330835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Pr="00495C9A">
        <w:rPr>
          <w:noProof/>
        </w:rPr>
        <w:drawing>
          <wp:anchor distT="0" distB="0" distL="114300" distR="114300" simplePos="0" relativeHeight="251715584" behindDoc="0" locked="0" layoutInCell="1" allowOverlap="1" wp14:anchorId="44638C34" wp14:editId="3A068E84">
            <wp:simplePos x="0" y="0"/>
            <wp:positionH relativeFrom="margin">
              <wp:align>center</wp:align>
            </wp:positionH>
            <wp:positionV relativeFrom="paragraph">
              <wp:posOffset>1294130</wp:posOffset>
            </wp:positionV>
            <wp:extent cx="4572000" cy="3429000"/>
            <wp:effectExtent l="19050" t="19050" r="19050" b="1905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3429000"/>
                    </a:xfrm>
                    <a:prstGeom prst="rect">
                      <a:avLst/>
                    </a:prstGeom>
                    <a:ln w="19050">
                      <a:solidFill>
                        <a:schemeClr val="tx1"/>
                      </a:solidFill>
                    </a:ln>
                  </pic:spPr>
                </pic:pic>
              </a:graphicData>
            </a:graphic>
            <wp14:sizeRelH relativeFrom="margin">
              <wp14:pctWidth>0</wp14:pctWidth>
            </wp14:sizeRelH>
          </wp:anchor>
        </w:drawing>
      </w:r>
      <w:r w:rsidR="009F7B2E">
        <w:t>The decline in Producer Price Index for the For-hire Trucking Industry does not signal a substantial decrease in truck utilization causing carriers to discount freight rates to gain market share to increase truck utilization, but rather reflects a reduction in fuel surcharges as a result of lower diesel fuel prices.  The earnings reports of publicly traded for-hire carriers impl</w:t>
      </w:r>
      <w:r w:rsidR="00A7681E">
        <w:t>y the</w:t>
      </w:r>
      <w:r w:rsidR="009F7B2E">
        <w:t xml:space="preserve"> pricing environment remains relatively stable.  The decrease in the gap between freight volumes and truck capacity in 2015 impl</w:t>
      </w:r>
      <w:r w:rsidR="00A7681E">
        <w:t>ies</w:t>
      </w:r>
      <w:r w:rsidR="009F7B2E">
        <w:t xml:space="preserve"> freight rate increases excluding fuel surcharges will slow in 2016 as compared to 2015.</w:t>
      </w:r>
      <w:bookmarkStart w:id="0" w:name="_GoBack"/>
      <w:bookmarkEnd w:id="0"/>
    </w:p>
    <w:p w:rsidR="0068576F" w:rsidRDefault="0068576F" w:rsidP="00E67099">
      <w:pPr>
        <w:jc w:val="both"/>
      </w:pPr>
      <w:r>
        <w:lastRenderedPageBreak/>
        <w:t xml:space="preserve">CMVC predicts PLI will continue to trend downward in the near term, as the inventory correction will not be completed until the beginning of the second quarter, but PLI will not decrease to low levels reflecting low fleet capacity utilization due to sluggish-to-moderate growth of local/regional freight volumes.  Fleet capacity utilization will remain at relatively high levels, as a result, parts aftermarket sales will be driven by vehicle demographic factors implying higher parts aftermarket sales in 2016 in spite of lower Class 8 truck sales in 2016 from 2015.  </w:t>
      </w:r>
    </w:p>
    <w:p w:rsidR="0068576F" w:rsidRDefault="0068576F" w:rsidP="00E67099">
      <w:pPr>
        <w:jc w:val="both"/>
      </w:pPr>
    </w:p>
    <w:p w:rsidR="003D2B4C" w:rsidRDefault="004B5061" w:rsidP="00E67099">
      <w:pPr>
        <w:jc w:val="both"/>
      </w:pPr>
      <w:r w:rsidRPr="0068576F">
        <w:rPr>
          <w:noProof/>
        </w:rPr>
        <w:drawing>
          <wp:anchor distT="0" distB="0" distL="114300" distR="114300" simplePos="0" relativeHeight="251717632" behindDoc="0" locked="0" layoutInCell="1" allowOverlap="1" wp14:anchorId="7DD711C6" wp14:editId="3ED1E44C">
            <wp:simplePos x="0" y="0"/>
            <wp:positionH relativeFrom="margin">
              <wp:align>center</wp:align>
            </wp:positionH>
            <wp:positionV relativeFrom="paragraph">
              <wp:posOffset>308610</wp:posOffset>
            </wp:positionV>
            <wp:extent cx="5202936" cy="3904488"/>
            <wp:effectExtent l="19050" t="19050" r="17145" b="2032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02936" cy="3904488"/>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rsidR="0068576F" w:rsidRDefault="0068576F" w:rsidP="00E67099">
      <w:pPr>
        <w:jc w:val="both"/>
      </w:pPr>
    </w:p>
    <w:p w:rsidR="00DF1705" w:rsidRDefault="00DF1705" w:rsidP="00E67099">
      <w:pPr>
        <w:jc w:val="both"/>
      </w:pPr>
    </w:p>
    <w:p w:rsidR="00240C01" w:rsidRDefault="00654333" w:rsidP="00E67099">
      <w:pPr>
        <w:jc w:val="both"/>
      </w:pPr>
      <w:r>
        <w:t xml:space="preserve">  </w:t>
      </w:r>
    </w:p>
    <w:p w:rsidR="00B402F6" w:rsidRDefault="00B402F6" w:rsidP="00E67099">
      <w:pPr>
        <w:jc w:val="both"/>
      </w:pPr>
    </w:p>
    <w:p w:rsidR="00C05A28" w:rsidRDefault="00C05A28" w:rsidP="00E67099">
      <w:pPr>
        <w:jc w:val="both"/>
      </w:pPr>
    </w:p>
    <w:p w:rsidR="00E52FE8" w:rsidRDefault="00E52FE8" w:rsidP="00731173">
      <w:pPr>
        <w:jc w:val="both"/>
      </w:pPr>
    </w:p>
    <w:p w:rsidR="00550577" w:rsidRDefault="00550577" w:rsidP="00731173">
      <w:pPr>
        <w:jc w:val="both"/>
      </w:pPr>
    </w:p>
    <w:p w:rsidR="0068576F" w:rsidRDefault="0068576F" w:rsidP="00731173">
      <w:pPr>
        <w:jc w:val="both"/>
      </w:pPr>
    </w:p>
    <w:p w:rsidR="0068576F" w:rsidRDefault="0068576F" w:rsidP="00731173">
      <w:pPr>
        <w:jc w:val="both"/>
      </w:pPr>
    </w:p>
    <w:p w:rsidR="0068576F" w:rsidRDefault="0068576F" w:rsidP="00731173">
      <w:pPr>
        <w:jc w:val="both"/>
      </w:pPr>
    </w:p>
    <w:p w:rsidR="0068576F" w:rsidRDefault="0068576F" w:rsidP="00731173">
      <w:pPr>
        <w:jc w:val="both"/>
      </w:pPr>
    </w:p>
    <w:p w:rsidR="0068576F" w:rsidRDefault="0068576F" w:rsidP="00731173">
      <w:pPr>
        <w:jc w:val="both"/>
      </w:pPr>
    </w:p>
    <w:p w:rsidR="0068576F" w:rsidRDefault="0068576F" w:rsidP="00731173">
      <w:pPr>
        <w:jc w:val="both"/>
      </w:pPr>
    </w:p>
    <w:p w:rsidR="0068576F" w:rsidRDefault="0068576F" w:rsidP="00731173">
      <w:pPr>
        <w:jc w:val="both"/>
      </w:pPr>
    </w:p>
    <w:p w:rsidR="00C05A28" w:rsidRPr="00C05A28" w:rsidRDefault="00C05A28" w:rsidP="00C05A28">
      <w:pPr>
        <w:jc w:val="center"/>
        <w:rPr>
          <w:rFonts w:ascii="Arial" w:hAnsi="Arial" w:cs="Arial"/>
          <w:color w:val="FF0000"/>
          <w:sz w:val="28"/>
          <w:szCs w:val="28"/>
        </w:rPr>
      </w:pPr>
      <w:r w:rsidRPr="00C05A28">
        <w:rPr>
          <w:rFonts w:ascii="Arial" w:hAnsi="Arial" w:cs="Arial"/>
          <w:color w:val="FF0000"/>
          <w:sz w:val="28"/>
          <w:szCs w:val="28"/>
        </w:rPr>
        <w:lastRenderedPageBreak/>
        <w:t>Supply Chain Factors – Freight Environment</w:t>
      </w:r>
    </w:p>
    <w:p w:rsidR="00C05A28" w:rsidRDefault="00C05A28" w:rsidP="00731173">
      <w:pPr>
        <w:jc w:val="both"/>
      </w:pPr>
    </w:p>
    <w:tbl>
      <w:tblPr>
        <w:tblStyle w:val="TableGrid"/>
        <w:tblW w:w="0" w:type="auto"/>
        <w:tblLook w:val="04A0" w:firstRow="1" w:lastRow="0" w:firstColumn="1" w:lastColumn="0" w:noHBand="0" w:noVBand="1"/>
      </w:tblPr>
      <w:tblGrid>
        <w:gridCol w:w="1075"/>
        <w:gridCol w:w="2250"/>
        <w:gridCol w:w="2700"/>
        <w:gridCol w:w="1170"/>
        <w:gridCol w:w="1435"/>
      </w:tblGrid>
      <w:tr w:rsidR="00012689" w:rsidTr="00C146CD">
        <w:tc>
          <w:tcPr>
            <w:tcW w:w="1075" w:type="dxa"/>
          </w:tcPr>
          <w:p w:rsidR="00012689" w:rsidRDefault="00B6496D" w:rsidP="00554760">
            <w:pPr>
              <w:jc w:val="both"/>
            </w:pPr>
            <w:r>
              <w:t xml:space="preserve">   </w:t>
            </w:r>
            <w:r w:rsidR="00FE1914">
              <w:t xml:space="preserve">  </w:t>
            </w:r>
            <w:r w:rsidR="00C577FD">
              <w:t xml:space="preserve"> </w:t>
            </w:r>
          </w:p>
        </w:tc>
        <w:tc>
          <w:tcPr>
            <w:tcW w:w="2250" w:type="dxa"/>
          </w:tcPr>
          <w:p w:rsidR="00012689" w:rsidRPr="00012689" w:rsidRDefault="00012689" w:rsidP="00012689">
            <w:pPr>
              <w:rPr>
                <w:color w:val="0000FF"/>
              </w:rPr>
            </w:pPr>
            <w:r w:rsidRPr="00012689">
              <w:rPr>
                <w:color w:val="0000FF"/>
              </w:rPr>
              <w:t>Final Sales to Domestic Purchasers</w:t>
            </w:r>
          </w:p>
        </w:tc>
        <w:tc>
          <w:tcPr>
            <w:tcW w:w="2700" w:type="dxa"/>
          </w:tcPr>
          <w:p w:rsidR="00012689" w:rsidRPr="00012689" w:rsidRDefault="00012689" w:rsidP="00012689">
            <w:pPr>
              <w:rPr>
                <w:color w:val="0000FF"/>
              </w:rPr>
            </w:pPr>
            <w:r w:rsidRPr="00012689">
              <w:rPr>
                <w:color w:val="0000FF"/>
              </w:rPr>
              <w:t>Inventory Investment</w:t>
            </w:r>
          </w:p>
          <w:p w:rsidR="00012689" w:rsidRPr="00012689" w:rsidRDefault="00012689" w:rsidP="00012689">
            <w:pPr>
              <w:rPr>
                <w:color w:val="0000FF"/>
              </w:rPr>
            </w:pPr>
            <w:r w:rsidRPr="00012689">
              <w:rPr>
                <w:color w:val="0000FF"/>
              </w:rPr>
              <w:t>Billions 2009 Dollars</w:t>
            </w:r>
          </w:p>
        </w:tc>
        <w:tc>
          <w:tcPr>
            <w:tcW w:w="1170" w:type="dxa"/>
          </w:tcPr>
          <w:p w:rsidR="00012689" w:rsidRPr="00012689" w:rsidRDefault="00012689" w:rsidP="00012689">
            <w:pPr>
              <w:rPr>
                <w:color w:val="0000FF"/>
              </w:rPr>
            </w:pPr>
          </w:p>
          <w:p w:rsidR="00012689" w:rsidRPr="00012689" w:rsidRDefault="00012689" w:rsidP="00012689">
            <w:pPr>
              <w:rPr>
                <w:color w:val="0000FF"/>
              </w:rPr>
            </w:pPr>
            <w:r w:rsidRPr="00012689">
              <w:rPr>
                <w:color w:val="0000FF"/>
              </w:rPr>
              <w:t>Exports</w:t>
            </w:r>
          </w:p>
        </w:tc>
        <w:tc>
          <w:tcPr>
            <w:tcW w:w="1435" w:type="dxa"/>
          </w:tcPr>
          <w:p w:rsidR="00012689" w:rsidRPr="00012689" w:rsidRDefault="00012689" w:rsidP="00012689">
            <w:pPr>
              <w:rPr>
                <w:color w:val="0000FF"/>
              </w:rPr>
            </w:pPr>
            <w:r w:rsidRPr="00012689">
              <w:rPr>
                <w:color w:val="0000FF"/>
              </w:rPr>
              <w:t>Industrial Production</w:t>
            </w:r>
          </w:p>
        </w:tc>
      </w:tr>
      <w:tr w:rsidR="00012689" w:rsidTr="00C146CD">
        <w:tc>
          <w:tcPr>
            <w:tcW w:w="1075" w:type="dxa"/>
          </w:tcPr>
          <w:p w:rsidR="00012689" w:rsidRDefault="00C146CD" w:rsidP="007F10B2">
            <w:pPr>
              <w:jc w:val="both"/>
            </w:pPr>
            <w:r>
              <w:t xml:space="preserve">2013 </w:t>
            </w:r>
            <w:r w:rsidR="00012689">
              <w:t>Q1</w:t>
            </w:r>
          </w:p>
        </w:tc>
        <w:tc>
          <w:tcPr>
            <w:tcW w:w="2250" w:type="dxa"/>
          </w:tcPr>
          <w:p w:rsidR="00012689" w:rsidRDefault="00C367DA" w:rsidP="00C367DA">
            <w:pPr>
              <w:jc w:val="center"/>
            </w:pPr>
            <w:r>
              <w:t>3</w:t>
            </w:r>
            <w:r w:rsidR="00012689">
              <w:t>.</w:t>
            </w:r>
            <w:r>
              <w:t>0</w:t>
            </w:r>
            <w:r w:rsidR="00012689">
              <w:t>%</w:t>
            </w:r>
          </w:p>
        </w:tc>
        <w:tc>
          <w:tcPr>
            <w:tcW w:w="2700" w:type="dxa"/>
          </w:tcPr>
          <w:p w:rsidR="00012689" w:rsidRDefault="00012689" w:rsidP="00D47778">
            <w:pPr>
              <w:jc w:val="center"/>
            </w:pPr>
            <w:r>
              <w:t>$</w:t>
            </w:r>
            <w:r w:rsidR="00D47778">
              <w:t>25</w:t>
            </w:r>
            <w:r>
              <w:t>.</w:t>
            </w:r>
            <w:r w:rsidR="00D47778">
              <w:t>2</w:t>
            </w:r>
          </w:p>
        </w:tc>
        <w:tc>
          <w:tcPr>
            <w:tcW w:w="1170" w:type="dxa"/>
          </w:tcPr>
          <w:p w:rsidR="00012689" w:rsidRDefault="00D47778" w:rsidP="00D47778">
            <w:pPr>
              <w:jc w:val="center"/>
            </w:pPr>
            <w:r>
              <w:t>1</w:t>
            </w:r>
            <w:r w:rsidR="00012689">
              <w:t>.</w:t>
            </w:r>
            <w:r>
              <w:t>0</w:t>
            </w:r>
            <w:r w:rsidR="00012689">
              <w:t>%</w:t>
            </w:r>
          </w:p>
        </w:tc>
        <w:tc>
          <w:tcPr>
            <w:tcW w:w="1435" w:type="dxa"/>
          </w:tcPr>
          <w:p w:rsidR="00012689" w:rsidRDefault="00012689" w:rsidP="00012689">
            <w:pPr>
              <w:jc w:val="center"/>
            </w:pPr>
            <w:r>
              <w:t>4.1%</w:t>
            </w:r>
          </w:p>
        </w:tc>
      </w:tr>
      <w:tr w:rsidR="00012689" w:rsidTr="00C146CD">
        <w:tc>
          <w:tcPr>
            <w:tcW w:w="1075" w:type="dxa"/>
            <w:shd w:val="clear" w:color="auto" w:fill="EEECE1" w:themeFill="background2"/>
          </w:tcPr>
          <w:p w:rsidR="00012689" w:rsidRDefault="00012689" w:rsidP="007F10B2">
            <w:pPr>
              <w:jc w:val="both"/>
            </w:pPr>
            <w:r>
              <w:t>Q2</w:t>
            </w:r>
          </w:p>
        </w:tc>
        <w:tc>
          <w:tcPr>
            <w:tcW w:w="2250" w:type="dxa"/>
            <w:shd w:val="clear" w:color="auto" w:fill="EEECE1" w:themeFill="background2"/>
          </w:tcPr>
          <w:p w:rsidR="00012689" w:rsidRDefault="00C367DA" w:rsidP="00C367DA">
            <w:pPr>
              <w:jc w:val="center"/>
            </w:pPr>
            <w:r>
              <w:t>1</w:t>
            </w:r>
            <w:r w:rsidR="00012689">
              <w:t>.</w:t>
            </w:r>
            <w:r>
              <w:t>6</w:t>
            </w:r>
            <w:r w:rsidR="00012689">
              <w:t>%</w:t>
            </w:r>
          </w:p>
        </w:tc>
        <w:tc>
          <w:tcPr>
            <w:tcW w:w="2700" w:type="dxa"/>
            <w:shd w:val="clear" w:color="auto" w:fill="EEECE1" w:themeFill="background2"/>
          </w:tcPr>
          <w:p w:rsidR="00012689" w:rsidRDefault="00012689" w:rsidP="00D47778">
            <w:pPr>
              <w:jc w:val="center"/>
            </w:pPr>
            <w:r>
              <w:t>$</w:t>
            </w:r>
            <w:r w:rsidR="00D47778">
              <w:t>39</w:t>
            </w:r>
            <w:r>
              <w:t>.</w:t>
            </w:r>
            <w:r w:rsidR="00D47778">
              <w:t>6</w:t>
            </w:r>
          </w:p>
        </w:tc>
        <w:tc>
          <w:tcPr>
            <w:tcW w:w="1170" w:type="dxa"/>
            <w:shd w:val="clear" w:color="auto" w:fill="EEECE1" w:themeFill="background2"/>
          </w:tcPr>
          <w:p w:rsidR="00012689" w:rsidRDefault="00D47778" w:rsidP="00D47778">
            <w:pPr>
              <w:jc w:val="center"/>
            </w:pPr>
            <w:r>
              <w:t>4</w:t>
            </w:r>
            <w:r w:rsidR="00012689">
              <w:t>.</w:t>
            </w:r>
            <w:r>
              <w:t>9</w:t>
            </w:r>
            <w:r w:rsidR="00012689">
              <w:t>%</w:t>
            </w:r>
          </w:p>
        </w:tc>
        <w:tc>
          <w:tcPr>
            <w:tcW w:w="1435" w:type="dxa"/>
            <w:shd w:val="clear" w:color="auto" w:fill="EEECE1" w:themeFill="background2"/>
          </w:tcPr>
          <w:p w:rsidR="00012689" w:rsidRDefault="00012689" w:rsidP="00012689">
            <w:pPr>
              <w:jc w:val="center"/>
            </w:pPr>
            <w:r>
              <w:t>1.9%</w:t>
            </w:r>
          </w:p>
        </w:tc>
      </w:tr>
      <w:tr w:rsidR="00012689" w:rsidTr="00C146CD">
        <w:tc>
          <w:tcPr>
            <w:tcW w:w="1075" w:type="dxa"/>
          </w:tcPr>
          <w:p w:rsidR="00012689" w:rsidRDefault="00012689" w:rsidP="007F10B2">
            <w:pPr>
              <w:jc w:val="both"/>
            </w:pPr>
            <w:r>
              <w:t>Q3</w:t>
            </w:r>
          </w:p>
        </w:tc>
        <w:tc>
          <w:tcPr>
            <w:tcW w:w="2250" w:type="dxa"/>
          </w:tcPr>
          <w:p w:rsidR="00012689" w:rsidRDefault="00C367DA" w:rsidP="00C367DA">
            <w:pPr>
              <w:jc w:val="center"/>
            </w:pPr>
            <w:r>
              <w:t>2</w:t>
            </w:r>
            <w:r w:rsidR="00012689">
              <w:t>.</w:t>
            </w:r>
            <w:r>
              <w:t>1</w:t>
            </w:r>
            <w:r w:rsidR="00012689">
              <w:t>%</w:t>
            </w:r>
          </w:p>
        </w:tc>
        <w:tc>
          <w:tcPr>
            <w:tcW w:w="2700" w:type="dxa"/>
          </w:tcPr>
          <w:p w:rsidR="00012689" w:rsidRDefault="00012689" w:rsidP="00D47778">
            <w:pPr>
              <w:jc w:val="center"/>
            </w:pPr>
            <w:r>
              <w:t>$</w:t>
            </w:r>
            <w:r w:rsidR="00E24D61">
              <w:t>9</w:t>
            </w:r>
            <w:r w:rsidR="00D47778">
              <w:t>3</w:t>
            </w:r>
            <w:r>
              <w:t>.</w:t>
            </w:r>
            <w:r w:rsidR="00E24D61">
              <w:t>6</w:t>
            </w:r>
          </w:p>
        </w:tc>
        <w:tc>
          <w:tcPr>
            <w:tcW w:w="1170" w:type="dxa"/>
          </w:tcPr>
          <w:p w:rsidR="00012689" w:rsidRDefault="00D47778" w:rsidP="00D47778">
            <w:pPr>
              <w:jc w:val="center"/>
            </w:pPr>
            <w:r>
              <w:t>4</w:t>
            </w:r>
            <w:r w:rsidR="00012689">
              <w:t>.</w:t>
            </w:r>
            <w:r>
              <w:t>2</w:t>
            </w:r>
            <w:r w:rsidR="00012689">
              <w:t>%</w:t>
            </w:r>
          </w:p>
        </w:tc>
        <w:tc>
          <w:tcPr>
            <w:tcW w:w="1435" w:type="dxa"/>
          </w:tcPr>
          <w:p w:rsidR="00012689" w:rsidRDefault="00012689" w:rsidP="00012689">
            <w:pPr>
              <w:jc w:val="center"/>
            </w:pPr>
            <w:r>
              <w:t>2.4%</w:t>
            </w:r>
          </w:p>
        </w:tc>
      </w:tr>
      <w:tr w:rsidR="00012689" w:rsidTr="00C146CD">
        <w:tc>
          <w:tcPr>
            <w:tcW w:w="1075" w:type="dxa"/>
            <w:shd w:val="clear" w:color="auto" w:fill="EEECE1" w:themeFill="background2"/>
          </w:tcPr>
          <w:p w:rsidR="00012689" w:rsidRDefault="00012689" w:rsidP="007F10B2">
            <w:pPr>
              <w:jc w:val="both"/>
            </w:pPr>
            <w:r>
              <w:t>Q</w:t>
            </w:r>
            <w:r w:rsidR="007F7EB5">
              <w:t>4</w:t>
            </w:r>
          </w:p>
        </w:tc>
        <w:tc>
          <w:tcPr>
            <w:tcW w:w="2250" w:type="dxa"/>
            <w:shd w:val="clear" w:color="auto" w:fill="EEECE1" w:themeFill="background2"/>
          </w:tcPr>
          <w:p w:rsidR="00012689" w:rsidRDefault="00C367DA" w:rsidP="00C367DA">
            <w:pPr>
              <w:jc w:val="center"/>
            </w:pPr>
            <w:r>
              <w:t>3</w:t>
            </w:r>
            <w:r w:rsidR="00012689">
              <w:t>.</w:t>
            </w:r>
            <w:r>
              <w:t>8</w:t>
            </w:r>
            <w:r w:rsidR="00012689">
              <w:t>%</w:t>
            </w:r>
          </w:p>
        </w:tc>
        <w:tc>
          <w:tcPr>
            <w:tcW w:w="2700" w:type="dxa"/>
            <w:shd w:val="clear" w:color="auto" w:fill="EEECE1" w:themeFill="background2"/>
          </w:tcPr>
          <w:p w:rsidR="00012689" w:rsidRDefault="00012689" w:rsidP="00D47778">
            <w:pPr>
              <w:jc w:val="center"/>
            </w:pPr>
            <w:r>
              <w:t>$</w:t>
            </w:r>
            <w:r w:rsidR="00E24D61">
              <w:t>8</w:t>
            </w:r>
            <w:r w:rsidR="00D47778">
              <w:t>7</w:t>
            </w:r>
            <w:r w:rsidR="00E24D61">
              <w:t>.</w:t>
            </w:r>
            <w:r w:rsidR="00D47778">
              <w:t>2</w:t>
            </w:r>
          </w:p>
        </w:tc>
        <w:tc>
          <w:tcPr>
            <w:tcW w:w="1170" w:type="dxa"/>
            <w:shd w:val="clear" w:color="auto" w:fill="EEECE1" w:themeFill="background2"/>
          </w:tcPr>
          <w:p w:rsidR="00012689" w:rsidRDefault="00E24D61" w:rsidP="00D47778">
            <w:pPr>
              <w:jc w:val="center"/>
            </w:pPr>
            <w:r>
              <w:t>10</w:t>
            </w:r>
            <w:r w:rsidR="00012689">
              <w:t>.</w:t>
            </w:r>
            <w:r w:rsidR="00D47778">
              <w:t>9</w:t>
            </w:r>
            <w:r w:rsidR="00012689">
              <w:t>%</w:t>
            </w:r>
          </w:p>
        </w:tc>
        <w:tc>
          <w:tcPr>
            <w:tcW w:w="1435" w:type="dxa"/>
            <w:shd w:val="clear" w:color="auto" w:fill="EEECE1" w:themeFill="background2"/>
          </w:tcPr>
          <w:p w:rsidR="00012689" w:rsidRDefault="00012689" w:rsidP="00E56A0B">
            <w:pPr>
              <w:jc w:val="center"/>
            </w:pPr>
            <w:r>
              <w:t>4.</w:t>
            </w:r>
            <w:r w:rsidR="00E56A0B">
              <w:t>8</w:t>
            </w:r>
            <w:r>
              <w:t>%</w:t>
            </w:r>
          </w:p>
        </w:tc>
      </w:tr>
      <w:tr w:rsidR="00CB7576" w:rsidTr="00CB7576">
        <w:tc>
          <w:tcPr>
            <w:tcW w:w="1075" w:type="dxa"/>
            <w:shd w:val="clear" w:color="auto" w:fill="FFFFFF" w:themeFill="background1"/>
          </w:tcPr>
          <w:p w:rsidR="00CB7576" w:rsidRDefault="00CB7576" w:rsidP="007F10B2">
            <w:pPr>
              <w:jc w:val="both"/>
            </w:pPr>
            <w:r>
              <w:t>2014 Q1</w:t>
            </w:r>
          </w:p>
        </w:tc>
        <w:tc>
          <w:tcPr>
            <w:tcW w:w="2250" w:type="dxa"/>
            <w:shd w:val="clear" w:color="auto" w:fill="FFFFFF" w:themeFill="background1"/>
          </w:tcPr>
          <w:p w:rsidR="00CB7576" w:rsidRDefault="00C367DA" w:rsidP="00C367DA">
            <w:pPr>
              <w:jc w:val="center"/>
            </w:pPr>
            <w:r>
              <w:t>2</w:t>
            </w:r>
            <w:r w:rsidR="00C51A3A">
              <w:t>.</w:t>
            </w:r>
            <w:r>
              <w:t>2</w:t>
            </w:r>
            <w:r w:rsidR="00C51A3A">
              <w:t>%</w:t>
            </w:r>
          </w:p>
        </w:tc>
        <w:tc>
          <w:tcPr>
            <w:tcW w:w="2700" w:type="dxa"/>
            <w:shd w:val="clear" w:color="auto" w:fill="FFFFFF" w:themeFill="background1"/>
          </w:tcPr>
          <w:p w:rsidR="00CB7576" w:rsidRDefault="00C51A3A" w:rsidP="00D47778">
            <w:pPr>
              <w:jc w:val="center"/>
            </w:pPr>
            <w:r>
              <w:t>$</w:t>
            </w:r>
            <w:r w:rsidR="00E24D61">
              <w:t>3</w:t>
            </w:r>
            <w:r w:rsidR="00D47778">
              <w:t>6</w:t>
            </w:r>
            <w:r w:rsidR="00E24D61">
              <w:t>.</w:t>
            </w:r>
            <w:r w:rsidR="00D47778">
              <w:t>9</w:t>
            </w:r>
          </w:p>
        </w:tc>
        <w:tc>
          <w:tcPr>
            <w:tcW w:w="1170" w:type="dxa"/>
            <w:shd w:val="clear" w:color="auto" w:fill="FFFFFF" w:themeFill="background1"/>
          </w:tcPr>
          <w:p w:rsidR="00CB7576" w:rsidRDefault="00C51A3A" w:rsidP="00D47778">
            <w:pPr>
              <w:jc w:val="center"/>
            </w:pPr>
            <w:r>
              <w:t>-</w:t>
            </w:r>
            <w:r w:rsidR="00D47778">
              <w:t>6</w:t>
            </w:r>
            <w:r>
              <w:t>.</w:t>
            </w:r>
            <w:r w:rsidR="00D47778">
              <w:t>7</w:t>
            </w:r>
            <w:r>
              <w:t>%</w:t>
            </w:r>
          </w:p>
        </w:tc>
        <w:tc>
          <w:tcPr>
            <w:tcW w:w="1435" w:type="dxa"/>
            <w:shd w:val="clear" w:color="auto" w:fill="FFFFFF" w:themeFill="background1"/>
          </w:tcPr>
          <w:p w:rsidR="00CB7576" w:rsidRDefault="00D57FC9" w:rsidP="00292080">
            <w:pPr>
              <w:jc w:val="center"/>
            </w:pPr>
            <w:r>
              <w:t>3</w:t>
            </w:r>
            <w:r w:rsidR="00C51A3A">
              <w:t>.</w:t>
            </w:r>
            <w:r w:rsidR="00292080">
              <w:t>8</w:t>
            </w:r>
            <w:r w:rsidR="00C51A3A">
              <w:t>%</w:t>
            </w:r>
          </w:p>
        </w:tc>
      </w:tr>
      <w:tr w:rsidR="005D7BAC" w:rsidTr="0064480C">
        <w:tc>
          <w:tcPr>
            <w:tcW w:w="1075" w:type="dxa"/>
            <w:shd w:val="clear" w:color="auto" w:fill="EEECE1" w:themeFill="background2"/>
          </w:tcPr>
          <w:p w:rsidR="005D7BAC" w:rsidRDefault="005D7BAC" w:rsidP="007F10B2">
            <w:pPr>
              <w:jc w:val="both"/>
            </w:pPr>
            <w:r>
              <w:t>Q2</w:t>
            </w:r>
          </w:p>
        </w:tc>
        <w:tc>
          <w:tcPr>
            <w:tcW w:w="2250" w:type="dxa"/>
            <w:shd w:val="clear" w:color="auto" w:fill="EEECE1" w:themeFill="background2"/>
          </w:tcPr>
          <w:p w:rsidR="005D7BAC" w:rsidRDefault="00C367DA" w:rsidP="00C367DA">
            <w:pPr>
              <w:jc w:val="center"/>
            </w:pPr>
            <w:r>
              <w:t>4</w:t>
            </w:r>
            <w:r w:rsidR="00E24D61">
              <w:t>.</w:t>
            </w:r>
            <w:r>
              <w:t>2</w:t>
            </w:r>
            <w:r w:rsidR="00E24D61">
              <w:t>%</w:t>
            </w:r>
          </w:p>
        </w:tc>
        <w:tc>
          <w:tcPr>
            <w:tcW w:w="2700" w:type="dxa"/>
            <w:shd w:val="clear" w:color="auto" w:fill="EEECE1" w:themeFill="background2"/>
          </w:tcPr>
          <w:p w:rsidR="005D7BAC" w:rsidRDefault="00E24D61" w:rsidP="00D47778">
            <w:pPr>
              <w:jc w:val="center"/>
            </w:pPr>
            <w:r>
              <w:t>$</w:t>
            </w:r>
            <w:r w:rsidR="00D47778">
              <w:t>77</w:t>
            </w:r>
            <w:r>
              <w:t>.</w:t>
            </w:r>
            <w:r w:rsidR="00D47778">
              <w:t>1</w:t>
            </w:r>
          </w:p>
        </w:tc>
        <w:tc>
          <w:tcPr>
            <w:tcW w:w="1170" w:type="dxa"/>
            <w:shd w:val="clear" w:color="auto" w:fill="EEECE1" w:themeFill="background2"/>
          </w:tcPr>
          <w:p w:rsidR="005D7BAC" w:rsidRDefault="00D47778" w:rsidP="00D47778">
            <w:pPr>
              <w:jc w:val="center"/>
            </w:pPr>
            <w:r>
              <w:t>9</w:t>
            </w:r>
            <w:r w:rsidR="00E24D61">
              <w:t>.</w:t>
            </w:r>
            <w:r>
              <w:t>8</w:t>
            </w:r>
            <w:r w:rsidR="00E24D61">
              <w:t>%</w:t>
            </w:r>
          </w:p>
        </w:tc>
        <w:tc>
          <w:tcPr>
            <w:tcW w:w="1435" w:type="dxa"/>
            <w:shd w:val="clear" w:color="auto" w:fill="EEECE1" w:themeFill="background2"/>
          </w:tcPr>
          <w:p w:rsidR="005D7BAC" w:rsidRDefault="00D57FC9" w:rsidP="00E944FB">
            <w:pPr>
              <w:jc w:val="center"/>
            </w:pPr>
            <w:r>
              <w:t>5.</w:t>
            </w:r>
            <w:r w:rsidR="00E944FB">
              <w:t>6</w:t>
            </w:r>
            <w:r>
              <w:t>%</w:t>
            </w:r>
          </w:p>
        </w:tc>
      </w:tr>
      <w:tr w:rsidR="003A5F98" w:rsidTr="00CB7576">
        <w:tc>
          <w:tcPr>
            <w:tcW w:w="1075" w:type="dxa"/>
            <w:shd w:val="clear" w:color="auto" w:fill="FFFFFF" w:themeFill="background1"/>
          </w:tcPr>
          <w:p w:rsidR="003A5F98" w:rsidRDefault="003A5F98" w:rsidP="007F10B2">
            <w:pPr>
              <w:jc w:val="both"/>
            </w:pPr>
            <w:r>
              <w:t>Q3</w:t>
            </w:r>
          </w:p>
        </w:tc>
        <w:tc>
          <w:tcPr>
            <w:tcW w:w="2250" w:type="dxa"/>
            <w:shd w:val="clear" w:color="auto" w:fill="FFFFFF" w:themeFill="background1"/>
          </w:tcPr>
          <w:p w:rsidR="003A5F98" w:rsidRDefault="00C367DA" w:rsidP="00C367DA">
            <w:pPr>
              <w:jc w:val="center"/>
            </w:pPr>
            <w:r>
              <w:t>4</w:t>
            </w:r>
            <w:r w:rsidR="000925E2">
              <w:t>.</w:t>
            </w:r>
            <w:r>
              <w:t>3</w:t>
            </w:r>
            <w:r w:rsidR="000925E2">
              <w:t>%</w:t>
            </w:r>
          </w:p>
        </w:tc>
        <w:tc>
          <w:tcPr>
            <w:tcW w:w="2700" w:type="dxa"/>
            <w:shd w:val="clear" w:color="auto" w:fill="FFFFFF" w:themeFill="background1"/>
          </w:tcPr>
          <w:p w:rsidR="003A5F98" w:rsidRDefault="000925E2" w:rsidP="00D47778">
            <w:pPr>
              <w:jc w:val="center"/>
            </w:pPr>
            <w:r>
              <w:t>$</w:t>
            </w:r>
            <w:r w:rsidR="00D47778">
              <w:t>79</w:t>
            </w:r>
            <w:r>
              <w:t>.</w:t>
            </w:r>
            <w:r w:rsidR="00D47778">
              <w:t>9</w:t>
            </w:r>
          </w:p>
        </w:tc>
        <w:tc>
          <w:tcPr>
            <w:tcW w:w="1170" w:type="dxa"/>
            <w:shd w:val="clear" w:color="auto" w:fill="FFFFFF" w:themeFill="background1"/>
          </w:tcPr>
          <w:p w:rsidR="003A5F98" w:rsidRDefault="00D47778" w:rsidP="00D47778">
            <w:pPr>
              <w:jc w:val="center"/>
            </w:pPr>
            <w:r>
              <w:t>1</w:t>
            </w:r>
            <w:r w:rsidR="000925E2">
              <w:t>.</w:t>
            </w:r>
            <w:r>
              <w:t>8</w:t>
            </w:r>
            <w:r w:rsidR="000925E2">
              <w:t>%</w:t>
            </w:r>
          </w:p>
        </w:tc>
        <w:tc>
          <w:tcPr>
            <w:tcW w:w="1435" w:type="dxa"/>
            <w:shd w:val="clear" w:color="auto" w:fill="FFFFFF" w:themeFill="background1"/>
          </w:tcPr>
          <w:p w:rsidR="003A5F98" w:rsidRDefault="00E944FB" w:rsidP="004A6769">
            <w:pPr>
              <w:jc w:val="center"/>
            </w:pPr>
            <w:r>
              <w:t>4</w:t>
            </w:r>
            <w:r w:rsidR="003A5F98">
              <w:t>.</w:t>
            </w:r>
            <w:r w:rsidR="004A6769">
              <w:t>0</w:t>
            </w:r>
            <w:r w:rsidR="003A5F98">
              <w:t>%</w:t>
            </w:r>
          </w:p>
        </w:tc>
      </w:tr>
      <w:tr w:rsidR="00A6256A" w:rsidTr="0064480C">
        <w:tc>
          <w:tcPr>
            <w:tcW w:w="1075" w:type="dxa"/>
            <w:shd w:val="clear" w:color="auto" w:fill="EEECE1" w:themeFill="background2"/>
          </w:tcPr>
          <w:p w:rsidR="00A6256A" w:rsidRDefault="00A6256A" w:rsidP="007F10B2">
            <w:pPr>
              <w:jc w:val="both"/>
            </w:pPr>
            <w:r>
              <w:t>Q4</w:t>
            </w:r>
          </w:p>
        </w:tc>
        <w:tc>
          <w:tcPr>
            <w:tcW w:w="2250" w:type="dxa"/>
            <w:shd w:val="clear" w:color="auto" w:fill="EEECE1" w:themeFill="background2"/>
          </w:tcPr>
          <w:p w:rsidR="00A6256A" w:rsidRDefault="00E07A23" w:rsidP="00C367DA">
            <w:pPr>
              <w:jc w:val="center"/>
            </w:pPr>
            <w:r>
              <w:t>3</w:t>
            </w:r>
            <w:r w:rsidR="00984E5C">
              <w:t>.</w:t>
            </w:r>
            <w:r w:rsidR="00C367DA">
              <w:t>9</w:t>
            </w:r>
            <w:r w:rsidR="00984E5C">
              <w:t>%</w:t>
            </w:r>
          </w:p>
        </w:tc>
        <w:tc>
          <w:tcPr>
            <w:tcW w:w="2700" w:type="dxa"/>
            <w:shd w:val="clear" w:color="auto" w:fill="EEECE1" w:themeFill="background2"/>
          </w:tcPr>
          <w:p w:rsidR="00A6256A" w:rsidRDefault="00984E5C" w:rsidP="00D47778">
            <w:pPr>
              <w:jc w:val="center"/>
            </w:pPr>
            <w:r>
              <w:t>$</w:t>
            </w:r>
            <w:r w:rsidR="00D47778">
              <w:t>78</w:t>
            </w:r>
            <w:r>
              <w:t>.</w:t>
            </w:r>
            <w:r w:rsidR="00D47778">
              <w:t>2</w:t>
            </w:r>
          </w:p>
        </w:tc>
        <w:tc>
          <w:tcPr>
            <w:tcW w:w="1170" w:type="dxa"/>
            <w:shd w:val="clear" w:color="auto" w:fill="EEECE1" w:themeFill="background2"/>
          </w:tcPr>
          <w:p w:rsidR="00A6256A" w:rsidRDefault="00D47778" w:rsidP="00D47778">
            <w:pPr>
              <w:jc w:val="center"/>
            </w:pPr>
            <w:r>
              <w:t>5</w:t>
            </w:r>
            <w:r w:rsidR="00984E5C">
              <w:t>.</w:t>
            </w:r>
            <w:r>
              <w:t>4</w:t>
            </w:r>
            <w:r w:rsidR="00984E5C">
              <w:t>%</w:t>
            </w:r>
          </w:p>
        </w:tc>
        <w:tc>
          <w:tcPr>
            <w:tcW w:w="1435" w:type="dxa"/>
            <w:shd w:val="clear" w:color="auto" w:fill="EEECE1" w:themeFill="background2"/>
          </w:tcPr>
          <w:p w:rsidR="00A6256A" w:rsidRDefault="00742773" w:rsidP="003F513D">
            <w:pPr>
              <w:jc w:val="center"/>
            </w:pPr>
            <w:r>
              <w:t>4</w:t>
            </w:r>
            <w:r w:rsidR="00196274">
              <w:t>.</w:t>
            </w:r>
            <w:r w:rsidR="003F513D">
              <w:t>6</w:t>
            </w:r>
            <w:r w:rsidR="00196274">
              <w:t>%</w:t>
            </w:r>
          </w:p>
        </w:tc>
      </w:tr>
      <w:tr w:rsidR="00A37FE0" w:rsidTr="00CB7576">
        <w:tc>
          <w:tcPr>
            <w:tcW w:w="1075" w:type="dxa"/>
            <w:shd w:val="clear" w:color="auto" w:fill="FFFFFF" w:themeFill="background1"/>
          </w:tcPr>
          <w:p w:rsidR="00A37FE0" w:rsidRDefault="00A37FE0" w:rsidP="007F10B2">
            <w:pPr>
              <w:jc w:val="both"/>
            </w:pPr>
            <w:r>
              <w:t>2015 Q1</w:t>
            </w:r>
          </w:p>
        </w:tc>
        <w:tc>
          <w:tcPr>
            <w:tcW w:w="2250" w:type="dxa"/>
            <w:shd w:val="clear" w:color="auto" w:fill="FFFFFF" w:themeFill="background1"/>
          </w:tcPr>
          <w:p w:rsidR="00A37FE0" w:rsidRDefault="00C367DA" w:rsidP="00C367DA">
            <w:pPr>
              <w:jc w:val="center"/>
            </w:pPr>
            <w:r>
              <w:t>2</w:t>
            </w:r>
            <w:r w:rsidR="00F0227A">
              <w:t>.</w:t>
            </w:r>
            <w:r>
              <w:t>0</w:t>
            </w:r>
            <w:r w:rsidR="00F0227A">
              <w:t>%</w:t>
            </w:r>
          </w:p>
        </w:tc>
        <w:tc>
          <w:tcPr>
            <w:tcW w:w="2700" w:type="dxa"/>
            <w:shd w:val="clear" w:color="auto" w:fill="FFFFFF" w:themeFill="background1"/>
          </w:tcPr>
          <w:p w:rsidR="00A37FE0" w:rsidRDefault="00F0227A" w:rsidP="00D47778">
            <w:pPr>
              <w:jc w:val="center"/>
            </w:pPr>
            <w:r>
              <w:t>$</w:t>
            </w:r>
            <w:r w:rsidR="00D47778">
              <w:t>112</w:t>
            </w:r>
            <w:r>
              <w:t>.</w:t>
            </w:r>
            <w:r w:rsidR="00D47778">
              <w:t>8</w:t>
            </w:r>
          </w:p>
        </w:tc>
        <w:tc>
          <w:tcPr>
            <w:tcW w:w="1170" w:type="dxa"/>
            <w:shd w:val="clear" w:color="auto" w:fill="FFFFFF" w:themeFill="background1"/>
          </w:tcPr>
          <w:p w:rsidR="00A37FE0" w:rsidRDefault="00F0227A" w:rsidP="00D47778">
            <w:pPr>
              <w:jc w:val="center"/>
            </w:pPr>
            <w:r>
              <w:t>-</w:t>
            </w:r>
            <w:r w:rsidR="00D47778">
              <w:t>6</w:t>
            </w:r>
            <w:r>
              <w:t>.</w:t>
            </w:r>
            <w:r w:rsidR="00D47778">
              <w:t>0</w:t>
            </w:r>
            <w:r>
              <w:t>%</w:t>
            </w:r>
          </w:p>
        </w:tc>
        <w:tc>
          <w:tcPr>
            <w:tcW w:w="1435" w:type="dxa"/>
            <w:shd w:val="clear" w:color="auto" w:fill="FFFFFF" w:themeFill="background1"/>
          </w:tcPr>
          <w:p w:rsidR="00A37FE0" w:rsidRDefault="003C10F2" w:rsidP="005D1A9C">
            <w:pPr>
              <w:jc w:val="center"/>
            </w:pPr>
            <w:r>
              <w:t>-</w:t>
            </w:r>
            <w:r w:rsidR="00C45EDC">
              <w:t>0</w:t>
            </w:r>
            <w:r>
              <w:t>.</w:t>
            </w:r>
            <w:r w:rsidR="005D1A9C">
              <w:t>3</w:t>
            </w:r>
            <w:r>
              <w:t>%</w:t>
            </w:r>
          </w:p>
        </w:tc>
      </w:tr>
      <w:tr w:rsidR="00FC109E" w:rsidTr="00CB7576">
        <w:tc>
          <w:tcPr>
            <w:tcW w:w="1075" w:type="dxa"/>
            <w:shd w:val="clear" w:color="auto" w:fill="FFFFFF" w:themeFill="background1"/>
          </w:tcPr>
          <w:p w:rsidR="00FC109E" w:rsidRDefault="00FC109E" w:rsidP="007F10B2">
            <w:pPr>
              <w:jc w:val="both"/>
            </w:pPr>
            <w:r>
              <w:t>Q2</w:t>
            </w:r>
          </w:p>
        </w:tc>
        <w:tc>
          <w:tcPr>
            <w:tcW w:w="2250" w:type="dxa"/>
            <w:shd w:val="clear" w:color="auto" w:fill="FFFFFF" w:themeFill="background1"/>
          </w:tcPr>
          <w:p w:rsidR="00FC109E" w:rsidRDefault="007F6098" w:rsidP="00C367DA">
            <w:pPr>
              <w:jc w:val="center"/>
            </w:pPr>
            <w:r>
              <w:t>3</w:t>
            </w:r>
            <w:r w:rsidR="0054226D">
              <w:t>.</w:t>
            </w:r>
            <w:r w:rsidR="00C367DA">
              <w:t>9</w:t>
            </w:r>
            <w:r w:rsidR="0054226D">
              <w:t>%</w:t>
            </w:r>
          </w:p>
        </w:tc>
        <w:tc>
          <w:tcPr>
            <w:tcW w:w="2700" w:type="dxa"/>
            <w:shd w:val="clear" w:color="auto" w:fill="FFFFFF" w:themeFill="background1"/>
          </w:tcPr>
          <w:p w:rsidR="00FC109E" w:rsidRDefault="00D47778" w:rsidP="00BA3FAB">
            <w:pPr>
              <w:jc w:val="center"/>
            </w:pPr>
            <w:r>
              <w:t>$1</w:t>
            </w:r>
            <w:r w:rsidR="00BA3FAB">
              <w:t>13</w:t>
            </w:r>
            <w:r>
              <w:t>.</w:t>
            </w:r>
            <w:r w:rsidR="00BA3FAB">
              <w:t>5</w:t>
            </w:r>
          </w:p>
        </w:tc>
        <w:tc>
          <w:tcPr>
            <w:tcW w:w="1170" w:type="dxa"/>
            <w:shd w:val="clear" w:color="auto" w:fill="FFFFFF" w:themeFill="background1"/>
          </w:tcPr>
          <w:p w:rsidR="00FC109E" w:rsidRDefault="00D47778" w:rsidP="00CE2B3B">
            <w:pPr>
              <w:jc w:val="center"/>
            </w:pPr>
            <w:r>
              <w:t>5.</w:t>
            </w:r>
            <w:r w:rsidR="00CE2B3B">
              <w:t>1</w:t>
            </w:r>
            <w:r>
              <w:t>%</w:t>
            </w:r>
          </w:p>
        </w:tc>
        <w:tc>
          <w:tcPr>
            <w:tcW w:w="1435" w:type="dxa"/>
            <w:shd w:val="clear" w:color="auto" w:fill="FFFFFF" w:themeFill="background1"/>
          </w:tcPr>
          <w:p w:rsidR="00FC109E" w:rsidRDefault="00197889" w:rsidP="006E6924">
            <w:pPr>
              <w:jc w:val="center"/>
            </w:pPr>
            <w:r>
              <w:t>-</w:t>
            </w:r>
            <w:r w:rsidR="000339DD">
              <w:t>2</w:t>
            </w:r>
            <w:r>
              <w:t>.</w:t>
            </w:r>
            <w:r w:rsidR="006E6924">
              <w:t>3</w:t>
            </w:r>
            <w:r>
              <w:t>%</w:t>
            </w:r>
          </w:p>
        </w:tc>
      </w:tr>
      <w:tr w:rsidR="00CE2B3B" w:rsidTr="00CB7576">
        <w:tc>
          <w:tcPr>
            <w:tcW w:w="1075" w:type="dxa"/>
            <w:shd w:val="clear" w:color="auto" w:fill="FFFFFF" w:themeFill="background1"/>
          </w:tcPr>
          <w:p w:rsidR="00CE2B3B" w:rsidRDefault="00CE2B3B" w:rsidP="007F10B2">
            <w:pPr>
              <w:jc w:val="both"/>
            </w:pPr>
            <w:r>
              <w:t>Q3</w:t>
            </w:r>
          </w:p>
        </w:tc>
        <w:tc>
          <w:tcPr>
            <w:tcW w:w="2250" w:type="dxa"/>
            <w:shd w:val="clear" w:color="auto" w:fill="FFFFFF" w:themeFill="background1"/>
          </w:tcPr>
          <w:p w:rsidR="00CE2B3B" w:rsidRDefault="00C367DA" w:rsidP="00C367DA">
            <w:pPr>
              <w:jc w:val="center"/>
            </w:pPr>
            <w:r>
              <w:t>3</w:t>
            </w:r>
            <w:r w:rsidR="00F3685D">
              <w:t>.</w:t>
            </w:r>
            <w:r>
              <w:t>2</w:t>
            </w:r>
            <w:r w:rsidR="00F3685D">
              <w:t>%</w:t>
            </w:r>
          </w:p>
        </w:tc>
        <w:tc>
          <w:tcPr>
            <w:tcW w:w="2700" w:type="dxa"/>
            <w:shd w:val="clear" w:color="auto" w:fill="FFFFFF" w:themeFill="background1"/>
          </w:tcPr>
          <w:p w:rsidR="00CE2B3B" w:rsidRDefault="00F3685D" w:rsidP="00946A48">
            <w:pPr>
              <w:jc w:val="center"/>
            </w:pPr>
            <w:r>
              <w:t>$</w:t>
            </w:r>
            <w:r w:rsidR="00946A48">
              <w:t>85</w:t>
            </w:r>
            <w:r>
              <w:t>.</w:t>
            </w:r>
            <w:r w:rsidR="00946A48">
              <w:t>5</w:t>
            </w:r>
          </w:p>
        </w:tc>
        <w:tc>
          <w:tcPr>
            <w:tcW w:w="1170" w:type="dxa"/>
            <w:shd w:val="clear" w:color="auto" w:fill="FFFFFF" w:themeFill="background1"/>
          </w:tcPr>
          <w:p w:rsidR="00CE2B3B" w:rsidRDefault="00F3685D" w:rsidP="001062E5">
            <w:pPr>
              <w:jc w:val="center"/>
            </w:pPr>
            <w:r>
              <w:t>0.</w:t>
            </w:r>
            <w:r w:rsidR="001062E5">
              <w:t>7</w:t>
            </w:r>
            <w:r>
              <w:t>%</w:t>
            </w:r>
          </w:p>
        </w:tc>
        <w:tc>
          <w:tcPr>
            <w:tcW w:w="1435" w:type="dxa"/>
            <w:shd w:val="clear" w:color="auto" w:fill="FFFFFF" w:themeFill="background1"/>
          </w:tcPr>
          <w:p w:rsidR="00CE2B3B" w:rsidRDefault="006E6924" w:rsidP="00946A48">
            <w:pPr>
              <w:jc w:val="center"/>
            </w:pPr>
            <w:r>
              <w:t>2.</w:t>
            </w:r>
            <w:r w:rsidR="00946A48">
              <w:t>7</w:t>
            </w:r>
            <w:r>
              <w:t>%</w:t>
            </w:r>
          </w:p>
        </w:tc>
      </w:tr>
      <w:tr w:rsidR="001062E5" w:rsidTr="00CB7576">
        <w:tc>
          <w:tcPr>
            <w:tcW w:w="1075" w:type="dxa"/>
            <w:shd w:val="clear" w:color="auto" w:fill="FFFFFF" w:themeFill="background1"/>
          </w:tcPr>
          <w:p w:rsidR="001062E5" w:rsidRDefault="001062E5" w:rsidP="007F10B2">
            <w:pPr>
              <w:jc w:val="both"/>
            </w:pPr>
            <w:r>
              <w:t>Q4</w:t>
            </w:r>
          </w:p>
        </w:tc>
        <w:tc>
          <w:tcPr>
            <w:tcW w:w="2250" w:type="dxa"/>
            <w:shd w:val="clear" w:color="auto" w:fill="FFFFFF" w:themeFill="background1"/>
          </w:tcPr>
          <w:p w:rsidR="001062E5" w:rsidRDefault="00C367DA" w:rsidP="00CE2B3B">
            <w:pPr>
              <w:jc w:val="center"/>
            </w:pPr>
            <w:r>
              <w:t>1.7%</w:t>
            </w:r>
          </w:p>
        </w:tc>
        <w:tc>
          <w:tcPr>
            <w:tcW w:w="2700" w:type="dxa"/>
            <w:shd w:val="clear" w:color="auto" w:fill="FFFFFF" w:themeFill="background1"/>
          </w:tcPr>
          <w:p w:rsidR="001062E5" w:rsidRDefault="00C367DA" w:rsidP="00BA3FAB">
            <w:pPr>
              <w:jc w:val="center"/>
            </w:pPr>
            <w:r>
              <w:t>$81.7</w:t>
            </w:r>
          </w:p>
        </w:tc>
        <w:tc>
          <w:tcPr>
            <w:tcW w:w="1170" w:type="dxa"/>
            <w:shd w:val="clear" w:color="auto" w:fill="FFFFFF" w:themeFill="background1"/>
          </w:tcPr>
          <w:p w:rsidR="001062E5" w:rsidRDefault="00C367DA" w:rsidP="001062E5">
            <w:pPr>
              <w:jc w:val="center"/>
            </w:pPr>
            <w:r>
              <w:t>-2.7%</w:t>
            </w:r>
          </w:p>
        </w:tc>
        <w:tc>
          <w:tcPr>
            <w:tcW w:w="1435" w:type="dxa"/>
            <w:shd w:val="clear" w:color="auto" w:fill="FFFFFF" w:themeFill="background1"/>
          </w:tcPr>
          <w:p w:rsidR="001062E5" w:rsidRDefault="00946A48" w:rsidP="006E6924">
            <w:pPr>
              <w:jc w:val="center"/>
            </w:pPr>
            <w:r>
              <w:t>-3.5%</w:t>
            </w:r>
          </w:p>
        </w:tc>
      </w:tr>
    </w:tbl>
    <w:p w:rsidR="00012689" w:rsidRDefault="00012689" w:rsidP="007F10B2">
      <w:pPr>
        <w:jc w:val="both"/>
      </w:pPr>
      <w:r>
        <w:t>Source: Bureau of Economic Statistics and Federal Reserve Board</w:t>
      </w:r>
    </w:p>
    <w:p w:rsidR="00741BFA" w:rsidRDefault="00741BFA" w:rsidP="007F10B2">
      <w:pPr>
        <w:jc w:val="both"/>
      </w:pPr>
    </w:p>
    <w:p w:rsidR="00060D57" w:rsidRDefault="00060D57" w:rsidP="007F10B2">
      <w:pPr>
        <w:jc w:val="both"/>
        <w:rPr>
          <w:noProof/>
        </w:rPr>
      </w:pPr>
    </w:p>
    <w:p w:rsidR="003B71C3" w:rsidRDefault="003B71C3" w:rsidP="007F10B2">
      <w:pPr>
        <w:jc w:val="both"/>
        <w:rPr>
          <w:noProof/>
        </w:rPr>
      </w:pPr>
    </w:p>
    <w:p w:rsidR="003B71C3" w:rsidRDefault="003B71C3" w:rsidP="007F10B2">
      <w:pPr>
        <w:jc w:val="both"/>
        <w:rPr>
          <w:noProof/>
        </w:rPr>
      </w:pPr>
    </w:p>
    <w:p w:rsidR="003B71C3" w:rsidRDefault="003B71C3" w:rsidP="007F10B2">
      <w:pPr>
        <w:jc w:val="both"/>
        <w:rPr>
          <w:noProof/>
        </w:rPr>
      </w:pPr>
    </w:p>
    <w:p w:rsidR="009E311B" w:rsidRPr="005B1474" w:rsidRDefault="009E311B" w:rsidP="009E311B">
      <w:pPr>
        <w:jc w:val="both"/>
        <w:rPr>
          <w:rFonts w:ascii="Arial" w:hAnsi="Arial"/>
          <w:sz w:val="28"/>
          <w:szCs w:val="28"/>
        </w:rPr>
      </w:pPr>
      <w:r w:rsidRPr="005B1474">
        <w:rPr>
          <w:rFonts w:ascii="Arial" w:hAnsi="Arial"/>
          <w:sz w:val="28"/>
          <w:szCs w:val="28"/>
        </w:rPr>
        <w:t>The six components of CMVC’s PLI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756"/>
        <w:gridCol w:w="1296"/>
        <w:gridCol w:w="1442"/>
        <w:gridCol w:w="991"/>
      </w:tblGrid>
      <w:tr w:rsidR="009E311B" w:rsidTr="007F7EB5">
        <w:tc>
          <w:tcPr>
            <w:tcW w:w="3145" w:type="dxa"/>
          </w:tcPr>
          <w:p w:rsidR="009E311B" w:rsidRPr="00834025" w:rsidRDefault="009E311B" w:rsidP="00834025">
            <w:pPr>
              <w:jc w:val="both"/>
              <w:rPr>
                <w:color w:val="0000FF"/>
                <w:szCs w:val="24"/>
              </w:rPr>
            </w:pPr>
          </w:p>
          <w:p w:rsidR="009E311B" w:rsidRPr="00834025" w:rsidRDefault="009E311B" w:rsidP="00834025">
            <w:pPr>
              <w:jc w:val="both"/>
              <w:rPr>
                <w:color w:val="0000FF"/>
                <w:szCs w:val="24"/>
              </w:rPr>
            </w:pPr>
          </w:p>
          <w:p w:rsidR="009E311B" w:rsidRPr="00834025" w:rsidRDefault="009E311B" w:rsidP="00834025">
            <w:pPr>
              <w:jc w:val="both"/>
              <w:rPr>
                <w:color w:val="0000FF"/>
                <w:szCs w:val="24"/>
              </w:rPr>
            </w:pPr>
            <w:r w:rsidRPr="00834025">
              <w:rPr>
                <w:color w:val="0000FF"/>
                <w:szCs w:val="24"/>
              </w:rPr>
              <w:t>Components</w:t>
            </w:r>
          </w:p>
        </w:tc>
        <w:tc>
          <w:tcPr>
            <w:tcW w:w="1756" w:type="dxa"/>
          </w:tcPr>
          <w:p w:rsidR="009E311B" w:rsidRPr="00834025" w:rsidRDefault="003B71C3" w:rsidP="00C367DA">
            <w:pPr>
              <w:jc w:val="center"/>
              <w:rPr>
                <w:color w:val="0000FF"/>
                <w:szCs w:val="24"/>
              </w:rPr>
            </w:pPr>
            <w:r>
              <w:rPr>
                <w:color w:val="0000FF"/>
                <w:szCs w:val="24"/>
              </w:rPr>
              <w:t>Month-Month Percent Change (</w:t>
            </w:r>
            <w:r w:rsidR="00C367DA">
              <w:rPr>
                <w:color w:val="0000FF"/>
                <w:szCs w:val="24"/>
              </w:rPr>
              <w:t>Jan</w:t>
            </w:r>
            <w:r w:rsidR="000A212C">
              <w:rPr>
                <w:color w:val="0000FF"/>
                <w:szCs w:val="24"/>
              </w:rPr>
              <w:t>.</w:t>
            </w:r>
            <w:r w:rsidR="009E311B" w:rsidRPr="00834025">
              <w:rPr>
                <w:color w:val="0000FF"/>
                <w:szCs w:val="24"/>
              </w:rPr>
              <w:t>/</w:t>
            </w:r>
            <w:r w:rsidR="00C367DA">
              <w:rPr>
                <w:color w:val="0000FF"/>
                <w:szCs w:val="24"/>
              </w:rPr>
              <w:t>Dec</w:t>
            </w:r>
            <w:r>
              <w:rPr>
                <w:color w:val="0000FF"/>
                <w:szCs w:val="24"/>
              </w:rPr>
              <w:t>.</w:t>
            </w:r>
            <w:r w:rsidR="009E311B" w:rsidRPr="00834025">
              <w:rPr>
                <w:color w:val="0000FF"/>
                <w:szCs w:val="24"/>
              </w:rPr>
              <w:t>)</w:t>
            </w:r>
          </w:p>
        </w:tc>
        <w:tc>
          <w:tcPr>
            <w:tcW w:w="1296" w:type="dxa"/>
          </w:tcPr>
          <w:p w:rsidR="009E311B" w:rsidRPr="00834025" w:rsidRDefault="009E311B" w:rsidP="00834025">
            <w:pPr>
              <w:jc w:val="both"/>
              <w:rPr>
                <w:color w:val="0000FF"/>
                <w:szCs w:val="24"/>
              </w:rPr>
            </w:pPr>
          </w:p>
          <w:p w:rsidR="009E311B" w:rsidRPr="00834025" w:rsidRDefault="009E311B" w:rsidP="00834025">
            <w:pPr>
              <w:jc w:val="both"/>
              <w:rPr>
                <w:color w:val="0000FF"/>
                <w:szCs w:val="24"/>
              </w:rPr>
            </w:pPr>
            <w:r w:rsidRPr="00834025">
              <w:rPr>
                <w:color w:val="0000FF"/>
                <w:szCs w:val="24"/>
              </w:rPr>
              <w:t>Trend</w:t>
            </w:r>
          </w:p>
          <w:p w:rsidR="009E311B" w:rsidRPr="00834025" w:rsidRDefault="009E311B" w:rsidP="00834025">
            <w:pPr>
              <w:jc w:val="both"/>
              <w:rPr>
                <w:color w:val="0000FF"/>
                <w:szCs w:val="24"/>
              </w:rPr>
            </w:pPr>
            <w:r w:rsidRPr="00834025">
              <w:rPr>
                <w:color w:val="0000FF"/>
                <w:szCs w:val="24"/>
              </w:rPr>
              <w:t>Direction</w:t>
            </w:r>
          </w:p>
        </w:tc>
        <w:tc>
          <w:tcPr>
            <w:tcW w:w="1442" w:type="dxa"/>
          </w:tcPr>
          <w:p w:rsidR="009E311B" w:rsidRPr="00834025" w:rsidRDefault="009E311B" w:rsidP="002B409F">
            <w:pPr>
              <w:rPr>
                <w:color w:val="0000FF"/>
                <w:szCs w:val="24"/>
              </w:rPr>
            </w:pPr>
          </w:p>
          <w:p w:rsidR="009E311B" w:rsidRPr="00834025" w:rsidRDefault="009E311B" w:rsidP="002B409F">
            <w:pPr>
              <w:rPr>
                <w:color w:val="0000FF"/>
                <w:szCs w:val="24"/>
              </w:rPr>
            </w:pPr>
            <w:r w:rsidRPr="00834025">
              <w:rPr>
                <w:color w:val="0000FF"/>
                <w:szCs w:val="24"/>
              </w:rPr>
              <w:t>Rate of Change</w:t>
            </w:r>
          </w:p>
        </w:tc>
        <w:tc>
          <w:tcPr>
            <w:tcW w:w="991" w:type="dxa"/>
          </w:tcPr>
          <w:p w:rsidR="009E311B" w:rsidRPr="00834025" w:rsidRDefault="009E311B" w:rsidP="00834025">
            <w:pPr>
              <w:jc w:val="both"/>
              <w:rPr>
                <w:color w:val="0000FF"/>
                <w:szCs w:val="24"/>
              </w:rPr>
            </w:pPr>
          </w:p>
          <w:p w:rsidR="009E311B" w:rsidRPr="00834025" w:rsidRDefault="009E311B" w:rsidP="00834025">
            <w:pPr>
              <w:jc w:val="both"/>
              <w:rPr>
                <w:color w:val="0000FF"/>
                <w:szCs w:val="24"/>
              </w:rPr>
            </w:pPr>
            <w:r w:rsidRPr="00834025">
              <w:rPr>
                <w:color w:val="0000FF"/>
                <w:szCs w:val="24"/>
              </w:rPr>
              <w:t>Trend -</w:t>
            </w:r>
          </w:p>
          <w:p w:rsidR="009E311B" w:rsidRPr="00834025" w:rsidRDefault="009E311B" w:rsidP="00834025">
            <w:pPr>
              <w:jc w:val="both"/>
              <w:rPr>
                <w:color w:val="0000FF"/>
                <w:szCs w:val="24"/>
              </w:rPr>
            </w:pPr>
            <w:r w:rsidRPr="00834025">
              <w:rPr>
                <w:color w:val="0000FF"/>
                <w:szCs w:val="24"/>
              </w:rPr>
              <w:t>Months</w:t>
            </w:r>
          </w:p>
        </w:tc>
      </w:tr>
      <w:tr w:rsidR="009E311B" w:rsidTr="007F7EB5">
        <w:tc>
          <w:tcPr>
            <w:tcW w:w="3145" w:type="dxa"/>
            <w:tcBorders>
              <w:bottom w:val="single" w:sz="4" w:space="0" w:color="auto"/>
            </w:tcBorders>
          </w:tcPr>
          <w:p w:rsidR="009E311B" w:rsidRDefault="009E311B" w:rsidP="002B409F">
            <w:r>
              <w:t xml:space="preserve">Dow Jones </w:t>
            </w:r>
          </w:p>
          <w:p w:rsidR="009E311B" w:rsidRDefault="009E311B" w:rsidP="002B409F">
            <w:r>
              <w:t>Transportation Index</w:t>
            </w:r>
          </w:p>
        </w:tc>
        <w:tc>
          <w:tcPr>
            <w:tcW w:w="1756" w:type="dxa"/>
            <w:tcBorders>
              <w:bottom w:val="single" w:sz="4" w:space="0" w:color="auto"/>
            </w:tcBorders>
          </w:tcPr>
          <w:p w:rsidR="009E311B" w:rsidRDefault="009E311B" w:rsidP="00834025">
            <w:pPr>
              <w:jc w:val="center"/>
            </w:pPr>
          </w:p>
          <w:p w:rsidR="009E311B" w:rsidRDefault="00434D04" w:rsidP="00C367DA">
            <w:pPr>
              <w:jc w:val="center"/>
            </w:pPr>
            <w:r>
              <w:t>-</w:t>
            </w:r>
            <w:r w:rsidR="00C367DA">
              <w:t>10</w:t>
            </w:r>
            <w:r>
              <w:t>.3%</w:t>
            </w:r>
          </w:p>
        </w:tc>
        <w:tc>
          <w:tcPr>
            <w:tcW w:w="1296" w:type="dxa"/>
            <w:tcBorders>
              <w:bottom w:val="single" w:sz="4" w:space="0" w:color="auto"/>
            </w:tcBorders>
          </w:tcPr>
          <w:p w:rsidR="009E311B" w:rsidRDefault="009E311B" w:rsidP="00923A7E">
            <w:pPr>
              <w:jc w:val="right"/>
            </w:pPr>
          </w:p>
          <w:p w:rsidR="00B532F9" w:rsidRDefault="00B532F9" w:rsidP="00923A7E">
            <w:pPr>
              <w:jc w:val="right"/>
            </w:pPr>
            <w:r>
              <w:t>Downward</w:t>
            </w:r>
          </w:p>
        </w:tc>
        <w:tc>
          <w:tcPr>
            <w:tcW w:w="1442" w:type="dxa"/>
            <w:tcBorders>
              <w:bottom w:val="single" w:sz="4" w:space="0" w:color="auto"/>
            </w:tcBorders>
          </w:tcPr>
          <w:p w:rsidR="003B71C3" w:rsidRDefault="003B71C3" w:rsidP="00923A7E">
            <w:pPr>
              <w:jc w:val="right"/>
            </w:pPr>
          </w:p>
          <w:p w:rsidR="00434D04" w:rsidRDefault="00434D04" w:rsidP="00923A7E">
            <w:pPr>
              <w:jc w:val="right"/>
            </w:pPr>
            <w:r>
              <w:t>Accelerating</w:t>
            </w:r>
          </w:p>
        </w:tc>
        <w:tc>
          <w:tcPr>
            <w:tcW w:w="991" w:type="dxa"/>
            <w:tcBorders>
              <w:bottom w:val="single" w:sz="4" w:space="0" w:color="auto"/>
            </w:tcBorders>
          </w:tcPr>
          <w:p w:rsidR="0056329D" w:rsidRDefault="0056329D" w:rsidP="00834025">
            <w:pPr>
              <w:jc w:val="center"/>
            </w:pPr>
          </w:p>
          <w:p w:rsidR="003B71C3" w:rsidRDefault="00C367DA" w:rsidP="00834025">
            <w:pPr>
              <w:jc w:val="center"/>
            </w:pPr>
            <w:r>
              <w:t>2</w:t>
            </w:r>
          </w:p>
        </w:tc>
      </w:tr>
      <w:tr w:rsidR="009E311B" w:rsidTr="007F7EB5">
        <w:tc>
          <w:tcPr>
            <w:tcW w:w="3145" w:type="dxa"/>
            <w:shd w:val="clear" w:color="auto" w:fill="F3F3F3"/>
          </w:tcPr>
          <w:p w:rsidR="009E311B" w:rsidRDefault="009E311B" w:rsidP="002B409F">
            <w:r>
              <w:t>Fleet Capacity Utilization</w:t>
            </w:r>
          </w:p>
        </w:tc>
        <w:tc>
          <w:tcPr>
            <w:tcW w:w="1756" w:type="dxa"/>
            <w:shd w:val="clear" w:color="auto" w:fill="F3F3F3"/>
          </w:tcPr>
          <w:p w:rsidR="009E311B" w:rsidRDefault="0056329D" w:rsidP="00C367DA">
            <w:pPr>
              <w:jc w:val="center"/>
            </w:pPr>
            <w:r>
              <w:t>-0.</w:t>
            </w:r>
            <w:r w:rsidR="00C367DA">
              <w:t>1</w:t>
            </w:r>
            <w:r w:rsidR="00A752DB">
              <w:t>%</w:t>
            </w:r>
          </w:p>
        </w:tc>
        <w:tc>
          <w:tcPr>
            <w:tcW w:w="1296" w:type="dxa"/>
            <w:shd w:val="clear" w:color="auto" w:fill="F3F3F3"/>
          </w:tcPr>
          <w:p w:rsidR="009E311B" w:rsidRDefault="00045A7E" w:rsidP="00923A7E">
            <w:pPr>
              <w:jc w:val="right"/>
            </w:pPr>
            <w:r>
              <w:t>Downward</w:t>
            </w:r>
          </w:p>
        </w:tc>
        <w:tc>
          <w:tcPr>
            <w:tcW w:w="1442" w:type="dxa"/>
            <w:shd w:val="clear" w:color="auto" w:fill="F3F3F3"/>
          </w:tcPr>
          <w:p w:rsidR="009E311B" w:rsidRDefault="00C367DA" w:rsidP="00923A7E">
            <w:pPr>
              <w:jc w:val="right"/>
            </w:pPr>
            <w:r>
              <w:t>Decelerating</w:t>
            </w:r>
          </w:p>
        </w:tc>
        <w:tc>
          <w:tcPr>
            <w:tcW w:w="991" w:type="dxa"/>
            <w:shd w:val="clear" w:color="auto" w:fill="F3F3F3"/>
          </w:tcPr>
          <w:p w:rsidR="009E311B" w:rsidRDefault="00C367DA" w:rsidP="00834025">
            <w:pPr>
              <w:jc w:val="center"/>
            </w:pPr>
            <w:r>
              <w:t>6</w:t>
            </w:r>
          </w:p>
        </w:tc>
      </w:tr>
      <w:tr w:rsidR="009E311B" w:rsidTr="007F7EB5">
        <w:tc>
          <w:tcPr>
            <w:tcW w:w="3145" w:type="dxa"/>
            <w:tcBorders>
              <w:bottom w:val="single" w:sz="4" w:space="0" w:color="auto"/>
            </w:tcBorders>
          </w:tcPr>
          <w:p w:rsidR="009E311B" w:rsidRDefault="009E311B" w:rsidP="002B409F">
            <w:r>
              <w:t>Industrial Production</w:t>
            </w:r>
          </w:p>
        </w:tc>
        <w:tc>
          <w:tcPr>
            <w:tcW w:w="1756" w:type="dxa"/>
            <w:tcBorders>
              <w:bottom w:val="single" w:sz="4" w:space="0" w:color="auto"/>
            </w:tcBorders>
          </w:tcPr>
          <w:p w:rsidR="009E311B" w:rsidRDefault="00E56296" w:rsidP="00C367DA">
            <w:pPr>
              <w:jc w:val="center"/>
            </w:pPr>
            <w:r>
              <w:t>0</w:t>
            </w:r>
            <w:r w:rsidR="00E944FB">
              <w:t>.</w:t>
            </w:r>
            <w:r w:rsidR="00C367DA">
              <w:t>9</w:t>
            </w:r>
            <w:r w:rsidR="000925E2">
              <w:t>%</w:t>
            </w:r>
          </w:p>
        </w:tc>
        <w:tc>
          <w:tcPr>
            <w:tcW w:w="1296" w:type="dxa"/>
            <w:tcBorders>
              <w:bottom w:val="single" w:sz="4" w:space="0" w:color="auto"/>
            </w:tcBorders>
          </w:tcPr>
          <w:p w:rsidR="009E311B" w:rsidRDefault="00C367DA" w:rsidP="00C367DA">
            <w:pPr>
              <w:jc w:val="right"/>
            </w:pPr>
            <w:r>
              <w:t>Neutral</w:t>
            </w:r>
          </w:p>
        </w:tc>
        <w:tc>
          <w:tcPr>
            <w:tcW w:w="1442" w:type="dxa"/>
            <w:tcBorders>
              <w:bottom w:val="single" w:sz="4" w:space="0" w:color="auto"/>
            </w:tcBorders>
          </w:tcPr>
          <w:p w:rsidR="009E311B" w:rsidRDefault="005E6217" w:rsidP="00923A7E">
            <w:pPr>
              <w:jc w:val="right"/>
            </w:pPr>
            <w:r>
              <w:t>Volatile</w:t>
            </w:r>
          </w:p>
        </w:tc>
        <w:tc>
          <w:tcPr>
            <w:tcW w:w="991" w:type="dxa"/>
            <w:tcBorders>
              <w:bottom w:val="single" w:sz="4" w:space="0" w:color="auto"/>
            </w:tcBorders>
          </w:tcPr>
          <w:p w:rsidR="009E311B" w:rsidRDefault="005E6217" w:rsidP="00834025">
            <w:pPr>
              <w:jc w:val="center"/>
            </w:pPr>
            <w:r>
              <w:t>1</w:t>
            </w:r>
          </w:p>
        </w:tc>
      </w:tr>
      <w:tr w:rsidR="009E311B" w:rsidTr="007F7EB5">
        <w:tc>
          <w:tcPr>
            <w:tcW w:w="3145" w:type="dxa"/>
            <w:shd w:val="clear" w:color="auto" w:fill="F3F3F3"/>
          </w:tcPr>
          <w:p w:rsidR="009E311B" w:rsidRDefault="009E311B" w:rsidP="002B409F">
            <w:r>
              <w:t>Motor Vehicle and Parts Dealers Retail Sales</w:t>
            </w:r>
          </w:p>
        </w:tc>
        <w:tc>
          <w:tcPr>
            <w:tcW w:w="1756" w:type="dxa"/>
            <w:shd w:val="clear" w:color="auto" w:fill="F3F3F3"/>
          </w:tcPr>
          <w:p w:rsidR="009E311B" w:rsidRDefault="009E311B" w:rsidP="006846CD">
            <w:pPr>
              <w:jc w:val="center"/>
            </w:pPr>
          </w:p>
          <w:p w:rsidR="00A752DB" w:rsidRDefault="003B71C3" w:rsidP="005E6217">
            <w:pPr>
              <w:jc w:val="center"/>
            </w:pPr>
            <w:r>
              <w:t>0</w:t>
            </w:r>
            <w:r w:rsidR="00A752DB">
              <w:t>.</w:t>
            </w:r>
            <w:r w:rsidR="005E6217">
              <w:t>6</w:t>
            </w:r>
            <w:r w:rsidR="00A752DB">
              <w:t>%</w:t>
            </w:r>
          </w:p>
        </w:tc>
        <w:tc>
          <w:tcPr>
            <w:tcW w:w="1296" w:type="dxa"/>
            <w:shd w:val="clear" w:color="auto" w:fill="F3F3F3"/>
          </w:tcPr>
          <w:p w:rsidR="00090764" w:rsidRDefault="00090764" w:rsidP="00923A7E">
            <w:pPr>
              <w:jc w:val="right"/>
            </w:pPr>
          </w:p>
          <w:p w:rsidR="00045A7E" w:rsidRDefault="00045A7E" w:rsidP="00923A7E">
            <w:pPr>
              <w:jc w:val="right"/>
            </w:pPr>
            <w:r>
              <w:t>Upward</w:t>
            </w:r>
          </w:p>
        </w:tc>
        <w:tc>
          <w:tcPr>
            <w:tcW w:w="1442" w:type="dxa"/>
            <w:shd w:val="clear" w:color="auto" w:fill="F3F3F3"/>
          </w:tcPr>
          <w:p w:rsidR="003B71C3" w:rsidRDefault="003B71C3" w:rsidP="00923A7E">
            <w:pPr>
              <w:jc w:val="right"/>
            </w:pPr>
          </w:p>
          <w:p w:rsidR="00AD0053" w:rsidRDefault="005E6217" w:rsidP="00923A7E">
            <w:pPr>
              <w:jc w:val="right"/>
            </w:pPr>
            <w:r>
              <w:t>Moderate</w:t>
            </w:r>
          </w:p>
        </w:tc>
        <w:tc>
          <w:tcPr>
            <w:tcW w:w="991" w:type="dxa"/>
            <w:shd w:val="clear" w:color="auto" w:fill="F3F3F3"/>
          </w:tcPr>
          <w:p w:rsidR="00AD0053" w:rsidRDefault="00AD0053" w:rsidP="00834025">
            <w:pPr>
              <w:jc w:val="center"/>
            </w:pPr>
          </w:p>
          <w:p w:rsidR="003B71C3" w:rsidRDefault="005E6217" w:rsidP="00834025">
            <w:pPr>
              <w:jc w:val="center"/>
            </w:pPr>
            <w:r>
              <w:t>3</w:t>
            </w:r>
          </w:p>
        </w:tc>
      </w:tr>
      <w:tr w:rsidR="009E311B" w:rsidTr="007F7EB5">
        <w:tc>
          <w:tcPr>
            <w:tcW w:w="3145" w:type="dxa"/>
            <w:tcBorders>
              <w:bottom w:val="single" w:sz="4" w:space="0" w:color="auto"/>
            </w:tcBorders>
          </w:tcPr>
          <w:p w:rsidR="009E311B" w:rsidRDefault="009E311B" w:rsidP="002B409F">
            <w:r>
              <w:t>Motor Vehicle and Parts Dealers I/S Ratio</w:t>
            </w:r>
          </w:p>
        </w:tc>
        <w:tc>
          <w:tcPr>
            <w:tcW w:w="1756" w:type="dxa"/>
            <w:tcBorders>
              <w:bottom w:val="single" w:sz="4" w:space="0" w:color="auto"/>
            </w:tcBorders>
          </w:tcPr>
          <w:p w:rsidR="00A752DB" w:rsidRDefault="00A752DB" w:rsidP="00A752DB"/>
          <w:p w:rsidR="00A752DB" w:rsidRDefault="00A752DB" w:rsidP="000A212C">
            <w:pPr>
              <w:jc w:val="center"/>
            </w:pPr>
            <w:r>
              <w:t>0.0</w:t>
            </w:r>
            <w:r w:rsidR="000A212C">
              <w:t>0</w:t>
            </w:r>
            <w:r>
              <w:t xml:space="preserve"> basis pts.</w:t>
            </w:r>
          </w:p>
        </w:tc>
        <w:tc>
          <w:tcPr>
            <w:tcW w:w="1296" w:type="dxa"/>
            <w:tcBorders>
              <w:bottom w:val="single" w:sz="4" w:space="0" w:color="auto"/>
            </w:tcBorders>
          </w:tcPr>
          <w:p w:rsidR="00732329" w:rsidRDefault="00732329" w:rsidP="00923A7E">
            <w:pPr>
              <w:jc w:val="right"/>
            </w:pPr>
          </w:p>
          <w:p w:rsidR="000A531A" w:rsidRDefault="000A531A" w:rsidP="00923A7E">
            <w:pPr>
              <w:jc w:val="right"/>
            </w:pPr>
            <w:r>
              <w:t>Neutral</w:t>
            </w:r>
          </w:p>
        </w:tc>
        <w:tc>
          <w:tcPr>
            <w:tcW w:w="1442" w:type="dxa"/>
            <w:tcBorders>
              <w:bottom w:val="single" w:sz="4" w:space="0" w:color="auto"/>
            </w:tcBorders>
          </w:tcPr>
          <w:p w:rsidR="000A531A" w:rsidRDefault="000A531A" w:rsidP="00923A7E">
            <w:pPr>
              <w:jc w:val="right"/>
            </w:pPr>
          </w:p>
          <w:p w:rsidR="0056329D" w:rsidRDefault="003B71C3" w:rsidP="00923A7E">
            <w:pPr>
              <w:jc w:val="right"/>
            </w:pPr>
            <w:r>
              <w:t>No Change</w:t>
            </w:r>
          </w:p>
        </w:tc>
        <w:tc>
          <w:tcPr>
            <w:tcW w:w="991" w:type="dxa"/>
            <w:tcBorders>
              <w:bottom w:val="single" w:sz="4" w:space="0" w:color="auto"/>
            </w:tcBorders>
          </w:tcPr>
          <w:p w:rsidR="0056329D" w:rsidRDefault="0056329D" w:rsidP="00834025">
            <w:pPr>
              <w:jc w:val="center"/>
            </w:pPr>
          </w:p>
          <w:p w:rsidR="000A212C" w:rsidRDefault="00BB0273" w:rsidP="00834025">
            <w:pPr>
              <w:jc w:val="center"/>
            </w:pPr>
            <w:r>
              <w:t>3</w:t>
            </w:r>
          </w:p>
        </w:tc>
      </w:tr>
      <w:tr w:rsidR="009E311B" w:rsidTr="007F7EB5">
        <w:tc>
          <w:tcPr>
            <w:tcW w:w="3145" w:type="dxa"/>
            <w:shd w:val="clear" w:color="auto" w:fill="F3F3F3"/>
          </w:tcPr>
          <w:p w:rsidR="009E311B" w:rsidRDefault="009E311B" w:rsidP="002B409F">
            <w:r>
              <w:t xml:space="preserve">Producer Price Index; </w:t>
            </w:r>
          </w:p>
          <w:p w:rsidR="009E311B" w:rsidRDefault="009E311B" w:rsidP="002B409F">
            <w:r>
              <w:t>For-hire Trucking Industry</w:t>
            </w:r>
          </w:p>
        </w:tc>
        <w:tc>
          <w:tcPr>
            <w:tcW w:w="1756" w:type="dxa"/>
            <w:shd w:val="clear" w:color="auto" w:fill="F3F3F3"/>
          </w:tcPr>
          <w:p w:rsidR="00C2296A" w:rsidRDefault="00C2296A" w:rsidP="005147F4">
            <w:pPr>
              <w:jc w:val="center"/>
            </w:pPr>
          </w:p>
          <w:p w:rsidR="00A752DB" w:rsidRDefault="00B573BF" w:rsidP="005E6217">
            <w:pPr>
              <w:jc w:val="center"/>
            </w:pPr>
            <w:r>
              <w:t>0</w:t>
            </w:r>
            <w:r w:rsidR="00A752DB">
              <w:t>.</w:t>
            </w:r>
            <w:r w:rsidR="005E6217">
              <w:t>1</w:t>
            </w:r>
            <w:r w:rsidR="00A752DB">
              <w:t>%</w:t>
            </w:r>
          </w:p>
        </w:tc>
        <w:tc>
          <w:tcPr>
            <w:tcW w:w="1296" w:type="dxa"/>
            <w:shd w:val="clear" w:color="auto" w:fill="F3F3F3"/>
          </w:tcPr>
          <w:p w:rsidR="00C2296A" w:rsidRDefault="00C2296A" w:rsidP="00923A7E">
            <w:pPr>
              <w:jc w:val="right"/>
            </w:pPr>
          </w:p>
          <w:p w:rsidR="000925E2" w:rsidRDefault="000A212C" w:rsidP="00923A7E">
            <w:pPr>
              <w:jc w:val="right"/>
            </w:pPr>
            <w:r>
              <w:t>Downward</w:t>
            </w:r>
          </w:p>
        </w:tc>
        <w:tc>
          <w:tcPr>
            <w:tcW w:w="1442" w:type="dxa"/>
            <w:shd w:val="clear" w:color="auto" w:fill="F3F3F3"/>
          </w:tcPr>
          <w:p w:rsidR="005E6217" w:rsidRDefault="005E6217" w:rsidP="00923A7E">
            <w:pPr>
              <w:jc w:val="right"/>
            </w:pPr>
          </w:p>
          <w:p w:rsidR="00AD0053" w:rsidRDefault="005E6217" w:rsidP="00923A7E">
            <w:pPr>
              <w:jc w:val="right"/>
            </w:pPr>
            <w:r>
              <w:t>Decelerating</w:t>
            </w:r>
          </w:p>
        </w:tc>
        <w:tc>
          <w:tcPr>
            <w:tcW w:w="991" w:type="dxa"/>
            <w:shd w:val="clear" w:color="auto" w:fill="F3F3F3"/>
          </w:tcPr>
          <w:p w:rsidR="000A212C" w:rsidRDefault="000A212C" w:rsidP="000A212C">
            <w:pPr>
              <w:jc w:val="center"/>
            </w:pPr>
          </w:p>
          <w:p w:rsidR="003B71C3" w:rsidRDefault="003B71C3" w:rsidP="000A212C">
            <w:pPr>
              <w:jc w:val="center"/>
            </w:pPr>
            <w:r>
              <w:t>1</w:t>
            </w:r>
          </w:p>
        </w:tc>
      </w:tr>
    </w:tbl>
    <w:p w:rsidR="006C2FED" w:rsidRDefault="006C2FED" w:rsidP="00B17627">
      <w:pPr>
        <w:jc w:val="both"/>
      </w:pPr>
    </w:p>
    <w:p w:rsidR="00FF1E2D" w:rsidRDefault="00FF1E2D" w:rsidP="00B17627">
      <w:pPr>
        <w:jc w:val="both"/>
      </w:pPr>
    </w:p>
    <w:p w:rsidR="00D0269D" w:rsidRDefault="00D0269D" w:rsidP="00B17627">
      <w:pPr>
        <w:jc w:val="both"/>
      </w:pPr>
    </w:p>
    <w:p w:rsidR="00D0269D" w:rsidRDefault="00D0269D" w:rsidP="00B17627">
      <w:pPr>
        <w:jc w:val="both"/>
      </w:pPr>
    </w:p>
    <w:p w:rsidR="00D0269D" w:rsidRDefault="00D0269D" w:rsidP="00B17627">
      <w:pPr>
        <w:jc w:val="both"/>
      </w:pPr>
    </w:p>
    <w:p w:rsidR="00D0269D" w:rsidRDefault="00D0269D" w:rsidP="00B17627">
      <w:pPr>
        <w:jc w:val="both"/>
      </w:pPr>
    </w:p>
    <w:p w:rsidR="00D0269D" w:rsidRDefault="00D0269D" w:rsidP="00B17627">
      <w:pPr>
        <w:jc w:val="both"/>
      </w:pPr>
    </w:p>
    <w:p w:rsidR="00D0269D" w:rsidRDefault="00D0269D" w:rsidP="00B17627">
      <w:pPr>
        <w:jc w:val="both"/>
      </w:pPr>
    </w:p>
    <w:p w:rsidR="00903F57" w:rsidRDefault="00903F57" w:rsidP="00B17627">
      <w:pPr>
        <w:jc w:val="both"/>
      </w:pPr>
    </w:p>
    <w:p w:rsidR="00903F57" w:rsidRDefault="00522A45" w:rsidP="00B17627">
      <w:pPr>
        <w:jc w:val="both"/>
      </w:pPr>
      <w:r w:rsidRPr="00522A45">
        <w:rPr>
          <w:noProof/>
        </w:rPr>
        <w:lastRenderedPageBreak/>
        <w:drawing>
          <wp:anchor distT="0" distB="0" distL="114300" distR="114300" simplePos="0" relativeHeight="251718656" behindDoc="0" locked="0" layoutInCell="1" allowOverlap="1">
            <wp:simplePos x="1143000" y="914400"/>
            <wp:positionH relativeFrom="column">
              <wp:align>center</wp:align>
            </wp:positionH>
            <wp:positionV relativeFrom="paragraph">
              <wp:posOffset>0</wp:posOffset>
            </wp:positionV>
            <wp:extent cx="4572000" cy="3429000"/>
            <wp:effectExtent l="19050" t="19050" r="19050" b="1905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3429000"/>
                    </a:xfrm>
                    <a:prstGeom prst="rect">
                      <a:avLst/>
                    </a:prstGeom>
                    <a:ln w="19050">
                      <a:solidFill>
                        <a:schemeClr val="tx1"/>
                      </a:solidFill>
                    </a:ln>
                  </pic:spPr>
                </pic:pic>
              </a:graphicData>
            </a:graphic>
            <wp14:sizeRelH relativeFrom="margin">
              <wp14:pctWidth>0</wp14:pctWidth>
            </wp14:sizeRelH>
          </wp:anchor>
        </w:drawing>
      </w:r>
    </w:p>
    <w:p w:rsidR="003A42C6" w:rsidRDefault="003A42C6" w:rsidP="00B17627">
      <w:pPr>
        <w:jc w:val="both"/>
      </w:pPr>
    </w:p>
    <w:p w:rsidR="003A42C6" w:rsidRDefault="003A42C6" w:rsidP="00B17627">
      <w:pPr>
        <w:jc w:val="both"/>
      </w:pPr>
    </w:p>
    <w:p w:rsidR="00522A45" w:rsidRDefault="00522A45" w:rsidP="00B17627">
      <w:pPr>
        <w:jc w:val="both"/>
      </w:pPr>
      <w:r w:rsidRPr="00522A45">
        <w:rPr>
          <w:noProof/>
        </w:rPr>
        <w:drawing>
          <wp:anchor distT="0" distB="0" distL="114300" distR="114300" simplePos="0" relativeHeight="251719680" behindDoc="0" locked="0" layoutInCell="1" allowOverlap="1">
            <wp:simplePos x="1143000" y="4908550"/>
            <wp:positionH relativeFrom="column">
              <wp:align>center</wp:align>
            </wp:positionH>
            <wp:positionV relativeFrom="paragraph">
              <wp:posOffset>0</wp:posOffset>
            </wp:positionV>
            <wp:extent cx="4572000" cy="3429000"/>
            <wp:effectExtent l="19050" t="19050" r="19050" b="1905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3429000"/>
                    </a:xfrm>
                    <a:prstGeom prst="rect">
                      <a:avLst/>
                    </a:prstGeom>
                    <a:ln w="19050">
                      <a:solidFill>
                        <a:schemeClr val="tx1"/>
                      </a:solidFill>
                    </a:ln>
                  </pic:spPr>
                </pic:pic>
              </a:graphicData>
            </a:graphic>
            <wp14:sizeRelH relativeFrom="margin">
              <wp14:pctWidth>0</wp14:pctWidth>
            </wp14:sizeRelH>
          </wp:anchor>
        </w:drawing>
      </w:r>
    </w:p>
    <w:p w:rsidR="000C498E" w:rsidRDefault="000C498E" w:rsidP="00B17627">
      <w:pPr>
        <w:jc w:val="both"/>
      </w:pPr>
    </w:p>
    <w:p w:rsidR="00CE7914" w:rsidRDefault="00CE7914" w:rsidP="00B17627">
      <w:pPr>
        <w:jc w:val="both"/>
      </w:pPr>
    </w:p>
    <w:p w:rsidR="00CE7914" w:rsidRDefault="00CE7914" w:rsidP="00B17627">
      <w:pPr>
        <w:jc w:val="both"/>
        <w:rPr>
          <w:noProof/>
        </w:rPr>
      </w:pPr>
    </w:p>
    <w:p w:rsidR="00522A45" w:rsidRDefault="00522A45" w:rsidP="00B17627">
      <w:pPr>
        <w:jc w:val="both"/>
        <w:rPr>
          <w:noProof/>
        </w:rPr>
      </w:pPr>
      <w:r w:rsidRPr="00522A45">
        <w:rPr>
          <w:noProof/>
        </w:rPr>
        <w:drawing>
          <wp:anchor distT="0" distB="0" distL="114300" distR="114300" simplePos="0" relativeHeight="251720704" behindDoc="0" locked="0" layoutInCell="1" allowOverlap="1">
            <wp:simplePos x="1143000" y="1092200"/>
            <wp:positionH relativeFrom="column">
              <wp:align>center</wp:align>
            </wp:positionH>
            <wp:positionV relativeFrom="paragraph">
              <wp:posOffset>0</wp:posOffset>
            </wp:positionV>
            <wp:extent cx="4572000" cy="3429000"/>
            <wp:effectExtent l="19050" t="19050" r="19050" b="1905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3429000"/>
                    </a:xfrm>
                    <a:prstGeom prst="rect">
                      <a:avLst/>
                    </a:prstGeom>
                    <a:ln w="19050">
                      <a:solidFill>
                        <a:schemeClr val="tx1"/>
                      </a:solidFill>
                    </a:ln>
                  </pic:spPr>
                </pic:pic>
              </a:graphicData>
            </a:graphic>
            <wp14:sizeRelH relativeFrom="margin">
              <wp14:pctWidth>0</wp14:pctWidth>
            </wp14:sizeRelH>
          </wp:anchor>
        </w:drawing>
      </w:r>
    </w:p>
    <w:p w:rsidR="00522A45" w:rsidRDefault="00522A45" w:rsidP="00B17627">
      <w:pPr>
        <w:jc w:val="both"/>
        <w:rPr>
          <w:noProof/>
        </w:rPr>
      </w:pPr>
    </w:p>
    <w:p w:rsidR="00522A45" w:rsidRDefault="00522A45" w:rsidP="00B17627">
      <w:pPr>
        <w:jc w:val="both"/>
        <w:rPr>
          <w:noProof/>
        </w:rPr>
      </w:pPr>
      <w:r w:rsidRPr="00522A45">
        <w:rPr>
          <w:noProof/>
        </w:rPr>
        <w:drawing>
          <wp:anchor distT="0" distB="0" distL="114300" distR="114300" simplePos="0" relativeHeight="251721728" behindDoc="0" locked="0" layoutInCell="1" allowOverlap="1">
            <wp:simplePos x="1143000" y="5060950"/>
            <wp:positionH relativeFrom="column">
              <wp:align>center</wp:align>
            </wp:positionH>
            <wp:positionV relativeFrom="paragraph">
              <wp:posOffset>0</wp:posOffset>
            </wp:positionV>
            <wp:extent cx="4572000" cy="3429000"/>
            <wp:effectExtent l="19050" t="19050" r="19050" b="1905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572000" cy="3429000"/>
                    </a:xfrm>
                    <a:prstGeom prst="rect">
                      <a:avLst/>
                    </a:prstGeom>
                    <a:ln w="19050">
                      <a:solidFill>
                        <a:schemeClr val="tx1"/>
                      </a:solidFill>
                    </a:ln>
                  </pic:spPr>
                </pic:pic>
              </a:graphicData>
            </a:graphic>
            <wp14:sizeRelH relativeFrom="margin">
              <wp14:pctWidth>0</wp14:pctWidth>
            </wp14:sizeRelH>
          </wp:anchor>
        </w:drawing>
      </w:r>
    </w:p>
    <w:p w:rsidR="00522A45" w:rsidRDefault="00522A45" w:rsidP="00B17627">
      <w:pPr>
        <w:jc w:val="both"/>
        <w:rPr>
          <w:noProof/>
        </w:rPr>
      </w:pPr>
    </w:p>
    <w:p w:rsidR="00522A45" w:rsidRDefault="00522A45" w:rsidP="00B17627">
      <w:pPr>
        <w:jc w:val="both"/>
        <w:rPr>
          <w:noProof/>
        </w:rPr>
      </w:pPr>
    </w:p>
    <w:p w:rsidR="009E311B" w:rsidRDefault="009E311B" w:rsidP="009E311B">
      <w:pPr>
        <w:jc w:val="both"/>
        <w:rPr>
          <w:rFonts w:ascii="Arial" w:hAnsi="Arial"/>
          <w:b/>
          <w:szCs w:val="24"/>
          <w:u w:val="single"/>
        </w:rPr>
      </w:pPr>
      <w:r w:rsidRPr="002B5436">
        <w:rPr>
          <w:rFonts w:ascii="Arial" w:hAnsi="Arial"/>
          <w:b/>
          <w:szCs w:val="24"/>
          <w:u w:val="single"/>
        </w:rPr>
        <w:t>About CMVC’s CV Parts Aftermarket Sales Leading Indictor (PLI)</w:t>
      </w:r>
    </w:p>
    <w:p w:rsidR="009E311B" w:rsidRDefault="009E311B" w:rsidP="009E311B"/>
    <w:p w:rsidR="009E311B" w:rsidRDefault="009E311B" w:rsidP="009E311B">
      <w:pPr>
        <w:jc w:val="both"/>
      </w:pPr>
      <w:r>
        <w:t xml:space="preserve">PLI was designed by CMVC to be a short-term forecasting indicator of </w:t>
      </w:r>
      <w:smartTag w:uri="urn:schemas-microsoft-com:office:smarttags" w:element="place">
        <w:smartTag w:uri="urn:schemas-microsoft-com:office:smarttags" w:element="country-region">
          <w:r>
            <w:t>U.S.</w:t>
          </w:r>
        </w:smartTag>
      </w:smartTag>
      <w:r>
        <w:t xml:space="preserve"> commercial vehicle parts aftermarket sales by signaling peaks/troughs and inflection/turning points in parts sales due to changes in fleets’ business environments as a result of cyclical change in the business cycle – expansion, recession and recovery.  PLI does not measure changes in trend factors, such as vehicle demographics, that have a medium and/or long-term influence on parts aftermarket sales, since changes in trend factor variables lag the fluctuation and turning points in parts sales related to changes in the business cycle when cyclical factors overwhelm trend factors.  Trend factor variables are not good predictors of changes in parts aftermarket sales related to changes in fleets’ business environments. A composite index was constructed to signal fluctuations in CV parts aftermarket sales, since the contribution of one data series over time differs from parts sales, so a composite index comprised of multiple data series is a better predictor of fluctuations/turning points in parts sales as the composite index gains better predictive powers from diversification.</w:t>
      </w:r>
    </w:p>
    <w:p w:rsidR="009E311B" w:rsidRDefault="009E311B" w:rsidP="00B17627">
      <w:pPr>
        <w:jc w:val="both"/>
      </w:pPr>
    </w:p>
    <w:p w:rsidR="00506FBA" w:rsidRDefault="00506FBA" w:rsidP="00B17627">
      <w:pPr>
        <w:jc w:val="both"/>
      </w:pPr>
    </w:p>
    <w:sectPr w:rsidR="00506FBA" w:rsidSect="00D04FA0">
      <w:footerReference w:type="even" r:id="rId17"/>
      <w:footerReference w:type="default" r:id="rId18"/>
      <w:footerReference w:type="firs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716" w:rsidRDefault="00F61716">
      <w:r>
        <w:separator/>
      </w:r>
    </w:p>
  </w:endnote>
  <w:endnote w:type="continuationSeparator" w:id="0">
    <w:p w:rsidR="00F61716" w:rsidRDefault="00F6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FBA" w:rsidRDefault="00D7421A" w:rsidP="009E311B">
    <w:pPr>
      <w:pStyle w:val="Footer"/>
      <w:framePr w:wrap="around" w:vAnchor="text" w:hAnchor="margin" w:xAlign="right" w:y="1"/>
      <w:rPr>
        <w:rStyle w:val="PageNumber"/>
      </w:rPr>
    </w:pPr>
    <w:r>
      <w:rPr>
        <w:rStyle w:val="PageNumber"/>
      </w:rPr>
      <w:fldChar w:fldCharType="begin"/>
    </w:r>
    <w:r w:rsidR="00506FBA">
      <w:rPr>
        <w:rStyle w:val="PageNumber"/>
      </w:rPr>
      <w:instrText xml:space="preserve">PAGE  </w:instrText>
    </w:r>
    <w:r>
      <w:rPr>
        <w:rStyle w:val="PageNumber"/>
      </w:rPr>
      <w:fldChar w:fldCharType="end"/>
    </w:r>
  </w:p>
  <w:p w:rsidR="00506FBA" w:rsidRDefault="00506FBA" w:rsidP="000451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FBA" w:rsidRDefault="00D7421A" w:rsidP="009E311B">
    <w:pPr>
      <w:pStyle w:val="Footer"/>
      <w:framePr w:wrap="around" w:vAnchor="text" w:hAnchor="margin" w:xAlign="right" w:y="1"/>
      <w:rPr>
        <w:rStyle w:val="PageNumber"/>
      </w:rPr>
    </w:pPr>
    <w:r>
      <w:rPr>
        <w:rStyle w:val="PageNumber"/>
      </w:rPr>
      <w:fldChar w:fldCharType="begin"/>
    </w:r>
    <w:r w:rsidR="00506FBA">
      <w:rPr>
        <w:rStyle w:val="PageNumber"/>
      </w:rPr>
      <w:instrText xml:space="preserve">PAGE  </w:instrText>
    </w:r>
    <w:r>
      <w:rPr>
        <w:rStyle w:val="PageNumber"/>
      </w:rPr>
      <w:fldChar w:fldCharType="separate"/>
    </w:r>
    <w:r w:rsidR="00A7681E">
      <w:rPr>
        <w:rStyle w:val="PageNumber"/>
        <w:noProof/>
      </w:rPr>
      <w:t>1</w:t>
    </w:r>
    <w:r>
      <w:rPr>
        <w:rStyle w:val="PageNumber"/>
      </w:rPr>
      <w:fldChar w:fldCharType="end"/>
    </w:r>
  </w:p>
  <w:p w:rsidR="00506FBA" w:rsidRPr="0091087C" w:rsidRDefault="00506FBA" w:rsidP="00045173">
    <w:pPr>
      <w:pStyle w:val="Footer"/>
      <w:ind w:right="360"/>
      <w:rPr>
        <w:rFonts w:ascii="Arial" w:hAnsi="Arial"/>
        <w:szCs w:val="24"/>
        <w:u w:val="single"/>
      </w:rPr>
    </w:pPr>
    <w:r>
      <w:tab/>
    </w:r>
    <w:r w:rsidRPr="0091087C">
      <w:rPr>
        <w:rFonts w:ascii="Arial" w:hAnsi="Arial"/>
        <w:szCs w:val="24"/>
        <w:u w:val="single"/>
      </w:rPr>
      <w:t>CV Parts Aftermarket Leading Indicator</w:t>
    </w:r>
  </w:p>
  <w:p w:rsidR="00506FBA" w:rsidRPr="00214FE9" w:rsidRDefault="00506FBA" w:rsidP="00045173">
    <w:pPr>
      <w:pStyle w:val="Footer"/>
      <w:ind w:right="360"/>
    </w:pPr>
    <w:r>
      <w:tab/>
    </w:r>
    <w:r w:rsidR="00645160">
      <w:t>January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FBA" w:rsidRPr="009E311B" w:rsidRDefault="00506FBA">
    <w:pPr>
      <w:pStyle w:val="Footer"/>
      <w:rPr>
        <w:szCs w:val="24"/>
        <w:u w:val="single"/>
      </w:rPr>
    </w:pPr>
    <w:r>
      <w:tab/>
    </w:r>
    <w:r w:rsidRPr="009E311B">
      <w:rPr>
        <w:szCs w:val="24"/>
        <w:u w:val="single"/>
      </w:rPr>
      <w:t>CV Parts Aftermarket Leading Indicator</w:t>
    </w:r>
  </w:p>
  <w:p w:rsidR="00506FBA" w:rsidRPr="009E311B" w:rsidRDefault="00506FBA">
    <w:pPr>
      <w:pStyle w:val="Footer"/>
      <w:rPr>
        <w:szCs w:val="24"/>
      </w:rPr>
    </w:pPr>
    <w:r>
      <w:rPr>
        <w:szCs w:val="24"/>
      </w:rPr>
      <w:tab/>
      <w:t>May 2013</w:t>
    </w:r>
  </w:p>
  <w:p w:rsidR="00506FBA" w:rsidRPr="009E311B" w:rsidRDefault="00506FBA">
    <w:pPr>
      <w:pStyle w:val="Footer"/>
      <w:rPr>
        <w:szCs w:val="24"/>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716" w:rsidRDefault="00F61716">
      <w:r>
        <w:separator/>
      </w:r>
    </w:p>
  </w:footnote>
  <w:footnote w:type="continuationSeparator" w:id="0">
    <w:p w:rsidR="00F61716" w:rsidRDefault="00F61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5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AE758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4F53339"/>
    <w:multiLevelType w:val="hybridMultilevel"/>
    <w:tmpl w:val="AC3632DC"/>
    <w:lvl w:ilvl="0" w:tplc="715436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16CA9"/>
    <w:multiLevelType w:val="hybridMultilevel"/>
    <w:tmpl w:val="7A1859CC"/>
    <w:lvl w:ilvl="0" w:tplc="7154368C">
      <w:start w:val="1"/>
      <w:numFmt w:val="bullet"/>
      <w:lvlText w:val=""/>
      <w:lvlJc w:val="left"/>
      <w:pPr>
        <w:tabs>
          <w:tab w:val="num" w:pos="360"/>
        </w:tabs>
        <w:ind w:left="360" w:hanging="360"/>
      </w:pPr>
      <w:rPr>
        <w:rFonts w:ascii="Symbol" w:hAnsi="Symbol" w:hint="default"/>
      </w:rPr>
    </w:lvl>
    <w:lvl w:ilvl="1" w:tplc="C5DADDF6">
      <w:start w:val="1"/>
      <w:numFmt w:val="bullet"/>
      <w:lvlText w:val=""/>
      <w:lvlJc w:val="left"/>
      <w:pPr>
        <w:tabs>
          <w:tab w:val="num" w:pos="1224"/>
        </w:tabs>
        <w:ind w:left="1296" w:hanging="216"/>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B57D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A291240"/>
    <w:multiLevelType w:val="hybridMultilevel"/>
    <w:tmpl w:val="AA60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87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E9542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2BF5C4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4A3719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C551FF0"/>
    <w:multiLevelType w:val="hybridMultilevel"/>
    <w:tmpl w:val="10FA85E8"/>
    <w:lvl w:ilvl="0" w:tplc="9FF02B9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BE4022"/>
    <w:multiLevelType w:val="hybridMultilevel"/>
    <w:tmpl w:val="A2925FC4"/>
    <w:lvl w:ilvl="0" w:tplc="DB8ADE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952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6CD34B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2970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458440D"/>
    <w:multiLevelType w:val="hybridMultilevel"/>
    <w:tmpl w:val="0B72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B01E1"/>
    <w:multiLevelType w:val="hybridMultilevel"/>
    <w:tmpl w:val="4A6A2F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55D3BDD"/>
    <w:multiLevelType w:val="hybridMultilevel"/>
    <w:tmpl w:val="3E32518A"/>
    <w:lvl w:ilvl="0" w:tplc="0409000F">
      <w:start w:val="4"/>
      <w:numFmt w:val="decimal"/>
      <w:lvlText w:val="%1."/>
      <w:lvlJc w:val="left"/>
      <w:pPr>
        <w:tabs>
          <w:tab w:val="num" w:pos="360"/>
        </w:tabs>
        <w:ind w:left="360" w:hanging="360"/>
      </w:pPr>
      <w:rPr>
        <w:rFonts w:hint="default"/>
      </w:rPr>
    </w:lvl>
    <w:lvl w:ilvl="1" w:tplc="DB8ADE04">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8577766"/>
    <w:multiLevelType w:val="hybridMultilevel"/>
    <w:tmpl w:val="E25685A6"/>
    <w:lvl w:ilvl="0" w:tplc="3572C7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4"/>
  </w:num>
  <w:num w:numId="4">
    <w:abstractNumId w:val="9"/>
  </w:num>
  <w:num w:numId="5">
    <w:abstractNumId w:val="13"/>
  </w:num>
  <w:num w:numId="6">
    <w:abstractNumId w:val="0"/>
  </w:num>
  <w:num w:numId="7">
    <w:abstractNumId w:val="6"/>
  </w:num>
  <w:num w:numId="8">
    <w:abstractNumId w:val="14"/>
  </w:num>
  <w:num w:numId="9">
    <w:abstractNumId w:val="7"/>
  </w:num>
  <w:num w:numId="10">
    <w:abstractNumId w:val="12"/>
  </w:num>
  <w:num w:numId="11">
    <w:abstractNumId w:val="17"/>
  </w:num>
  <w:num w:numId="12">
    <w:abstractNumId w:val="11"/>
  </w:num>
  <w:num w:numId="13">
    <w:abstractNumId w:val="18"/>
  </w:num>
  <w:num w:numId="14">
    <w:abstractNumId w:val="10"/>
  </w:num>
  <w:num w:numId="15">
    <w:abstractNumId w:val="3"/>
  </w:num>
  <w:num w:numId="16">
    <w:abstractNumId w:val="16"/>
  </w:num>
  <w:num w:numId="17">
    <w:abstractNumId w:val="2"/>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47"/>
    <w:rsid w:val="00001D37"/>
    <w:rsid w:val="00004F0B"/>
    <w:rsid w:val="00005686"/>
    <w:rsid w:val="000111B1"/>
    <w:rsid w:val="00012689"/>
    <w:rsid w:val="00014A24"/>
    <w:rsid w:val="00014C8B"/>
    <w:rsid w:val="00014DD0"/>
    <w:rsid w:val="00017B0E"/>
    <w:rsid w:val="00023144"/>
    <w:rsid w:val="00024CDB"/>
    <w:rsid w:val="00027CB0"/>
    <w:rsid w:val="000339DD"/>
    <w:rsid w:val="0003750B"/>
    <w:rsid w:val="00042773"/>
    <w:rsid w:val="0004346F"/>
    <w:rsid w:val="00045173"/>
    <w:rsid w:val="00045A7E"/>
    <w:rsid w:val="0005234D"/>
    <w:rsid w:val="00054D68"/>
    <w:rsid w:val="00055020"/>
    <w:rsid w:val="00057308"/>
    <w:rsid w:val="00060D57"/>
    <w:rsid w:val="00062BF5"/>
    <w:rsid w:val="00065BDA"/>
    <w:rsid w:val="0006795C"/>
    <w:rsid w:val="00067DB4"/>
    <w:rsid w:val="00071515"/>
    <w:rsid w:val="000848FD"/>
    <w:rsid w:val="00085EF5"/>
    <w:rsid w:val="00086AB2"/>
    <w:rsid w:val="00087AB0"/>
    <w:rsid w:val="00090764"/>
    <w:rsid w:val="000925E2"/>
    <w:rsid w:val="00093908"/>
    <w:rsid w:val="000948F8"/>
    <w:rsid w:val="000968A5"/>
    <w:rsid w:val="000A07ED"/>
    <w:rsid w:val="000A212C"/>
    <w:rsid w:val="000A531A"/>
    <w:rsid w:val="000A7BB5"/>
    <w:rsid w:val="000B2CA1"/>
    <w:rsid w:val="000B3CD8"/>
    <w:rsid w:val="000B5E01"/>
    <w:rsid w:val="000C3D03"/>
    <w:rsid w:val="000C4659"/>
    <w:rsid w:val="000C498E"/>
    <w:rsid w:val="000C7768"/>
    <w:rsid w:val="000D46E2"/>
    <w:rsid w:val="000E3677"/>
    <w:rsid w:val="000E4141"/>
    <w:rsid w:val="000E4910"/>
    <w:rsid w:val="000E51A1"/>
    <w:rsid w:val="000E7E50"/>
    <w:rsid w:val="000F2CCE"/>
    <w:rsid w:val="000F31CB"/>
    <w:rsid w:val="000F35B5"/>
    <w:rsid w:val="000F7984"/>
    <w:rsid w:val="0010102B"/>
    <w:rsid w:val="00103A51"/>
    <w:rsid w:val="001041A1"/>
    <w:rsid w:val="0010484A"/>
    <w:rsid w:val="001062E5"/>
    <w:rsid w:val="001069E0"/>
    <w:rsid w:val="00106B5F"/>
    <w:rsid w:val="00107935"/>
    <w:rsid w:val="001134E1"/>
    <w:rsid w:val="00114192"/>
    <w:rsid w:val="00115E10"/>
    <w:rsid w:val="0011791A"/>
    <w:rsid w:val="0012274B"/>
    <w:rsid w:val="001232A2"/>
    <w:rsid w:val="00126E62"/>
    <w:rsid w:val="001313B1"/>
    <w:rsid w:val="00131C60"/>
    <w:rsid w:val="00133649"/>
    <w:rsid w:val="00134476"/>
    <w:rsid w:val="0013508E"/>
    <w:rsid w:val="00137B66"/>
    <w:rsid w:val="00141A24"/>
    <w:rsid w:val="0014379C"/>
    <w:rsid w:val="00154B17"/>
    <w:rsid w:val="00155212"/>
    <w:rsid w:val="00163898"/>
    <w:rsid w:val="001701FC"/>
    <w:rsid w:val="00171198"/>
    <w:rsid w:val="00172AD1"/>
    <w:rsid w:val="00172E7C"/>
    <w:rsid w:val="00174DA1"/>
    <w:rsid w:val="00176720"/>
    <w:rsid w:val="00187347"/>
    <w:rsid w:val="001957C0"/>
    <w:rsid w:val="00196274"/>
    <w:rsid w:val="00197889"/>
    <w:rsid w:val="001A5F3E"/>
    <w:rsid w:val="001A7146"/>
    <w:rsid w:val="001B00EE"/>
    <w:rsid w:val="001B3FFC"/>
    <w:rsid w:val="001C1A21"/>
    <w:rsid w:val="001C346C"/>
    <w:rsid w:val="001C4A99"/>
    <w:rsid w:val="001C6C8D"/>
    <w:rsid w:val="001D5FFF"/>
    <w:rsid w:val="001E09EB"/>
    <w:rsid w:val="001E1C51"/>
    <w:rsid w:val="001E4DE4"/>
    <w:rsid w:val="001F4A3A"/>
    <w:rsid w:val="001F6146"/>
    <w:rsid w:val="0020132E"/>
    <w:rsid w:val="00202F1A"/>
    <w:rsid w:val="0021280B"/>
    <w:rsid w:val="002133A4"/>
    <w:rsid w:val="00214FE9"/>
    <w:rsid w:val="0022126D"/>
    <w:rsid w:val="00221AEA"/>
    <w:rsid w:val="00222A12"/>
    <w:rsid w:val="00224CF7"/>
    <w:rsid w:val="0023014C"/>
    <w:rsid w:val="00233528"/>
    <w:rsid w:val="00234919"/>
    <w:rsid w:val="00235E60"/>
    <w:rsid w:val="0024055E"/>
    <w:rsid w:val="00240ABF"/>
    <w:rsid w:val="00240C01"/>
    <w:rsid w:val="00240C03"/>
    <w:rsid w:val="00241832"/>
    <w:rsid w:val="00242CA8"/>
    <w:rsid w:val="002456EC"/>
    <w:rsid w:val="002467A5"/>
    <w:rsid w:val="0024778B"/>
    <w:rsid w:val="00251C6F"/>
    <w:rsid w:val="00254D03"/>
    <w:rsid w:val="00255F9E"/>
    <w:rsid w:val="00262C4A"/>
    <w:rsid w:val="00271DBB"/>
    <w:rsid w:val="002731A6"/>
    <w:rsid w:val="00277A59"/>
    <w:rsid w:val="002820F6"/>
    <w:rsid w:val="00284CC7"/>
    <w:rsid w:val="00285207"/>
    <w:rsid w:val="00287058"/>
    <w:rsid w:val="0028757E"/>
    <w:rsid w:val="002919BA"/>
    <w:rsid w:val="00292080"/>
    <w:rsid w:val="00297D8B"/>
    <w:rsid w:val="002A03D2"/>
    <w:rsid w:val="002A3BAF"/>
    <w:rsid w:val="002A62F1"/>
    <w:rsid w:val="002A7127"/>
    <w:rsid w:val="002B409F"/>
    <w:rsid w:val="002C2FB3"/>
    <w:rsid w:val="002C40C2"/>
    <w:rsid w:val="002C6072"/>
    <w:rsid w:val="002D4980"/>
    <w:rsid w:val="002E3477"/>
    <w:rsid w:val="002E386D"/>
    <w:rsid w:val="002F128C"/>
    <w:rsid w:val="002F297B"/>
    <w:rsid w:val="002F3067"/>
    <w:rsid w:val="002F504A"/>
    <w:rsid w:val="002F59D2"/>
    <w:rsid w:val="00302EA5"/>
    <w:rsid w:val="00303D39"/>
    <w:rsid w:val="00303EBC"/>
    <w:rsid w:val="00305731"/>
    <w:rsid w:val="00306951"/>
    <w:rsid w:val="00312647"/>
    <w:rsid w:val="00312BC9"/>
    <w:rsid w:val="003136EC"/>
    <w:rsid w:val="003234AE"/>
    <w:rsid w:val="00325288"/>
    <w:rsid w:val="003268F3"/>
    <w:rsid w:val="003277B2"/>
    <w:rsid w:val="003337D4"/>
    <w:rsid w:val="00334904"/>
    <w:rsid w:val="00335180"/>
    <w:rsid w:val="00336D75"/>
    <w:rsid w:val="00337DD4"/>
    <w:rsid w:val="00347507"/>
    <w:rsid w:val="0035421B"/>
    <w:rsid w:val="003574CE"/>
    <w:rsid w:val="003600C6"/>
    <w:rsid w:val="00363306"/>
    <w:rsid w:val="0036659E"/>
    <w:rsid w:val="00371C14"/>
    <w:rsid w:val="003734F2"/>
    <w:rsid w:val="00375586"/>
    <w:rsid w:val="003756E5"/>
    <w:rsid w:val="00375F8E"/>
    <w:rsid w:val="00381CD1"/>
    <w:rsid w:val="00384FB4"/>
    <w:rsid w:val="003857FF"/>
    <w:rsid w:val="00386A5B"/>
    <w:rsid w:val="00392A80"/>
    <w:rsid w:val="00393819"/>
    <w:rsid w:val="00394BF3"/>
    <w:rsid w:val="00397FB4"/>
    <w:rsid w:val="003A224F"/>
    <w:rsid w:val="003A2F1E"/>
    <w:rsid w:val="003A42C6"/>
    <w:rsid w:val="003A49A3"/>
    <w:rsid w:val="003A5F98"/>
    <w:rsid w:val="003A7D3A"/>
    <w:rsid w:val="003B68D2"/>
    <w:rsid w:val="003B71C3"/>
    <w:rsid w:val="003B7234"/>
    <w:rsid w:val="003C0558"/>
    <w:rsid w:val="003C0CF5"/>
    <w:rsid w:val="003C10F2"/>
    <w:rsid w:val="003D2B4C"/>
    <w:rsid w:val="003D6F9F"/>
    <w:rsid w:val="003E167A"/>
    <w:rsid w:val="003E1B4A"/>
    <w:rsid w:val="003F092C"/>
    <w:rsid w:val="003F513D"/>
    <w:rsid w:val="003F6306"/>
    <w:rsid w:val="003F68C3"/>
    <w:rsid w:val="00402801"/>
    <w:rsid w:val="00402A61"/>
    <w:rsid w:val="00403BFC"/>
    <w:rsid w:val="004067E8"/>
    <w:rsid w:val="004218F4"/>
    <w:rsid w:val="00421CEF"/>
    <w:rsid w:val="004226EC"/>
    <w:rsid w:val="00422BEB"/>
    <w:rsid w:val="00424898"/>
    <w:rsid w:val="00427DD2"/>
    <w:rsid w:val="00427EF2"/>
    <w:rsid w:val="00430177"/>
    <w:rsid w:val="004309A7"/>
    <w:rsid w:val="00434D04"/>
    <w:rsid w:val="0044019E"/>
    <w:rsid w:val="00442764"/>
    <w:rsid w:val="00443490"/>
    <w:rsid w:val="004518D6"/>
    <w:rsid w:val="00452361"/>
    <w:rsid w:val="004523B6"/>
    <w:rsid w:val="004532EC"/>
    <w:rsid w:val="00461F21"/>
    <w:rsid w:val="00462F5B"/>
    <w:rsid w:val="00462FBE"/>
    <w:rsid w:val="0046580C"/>
    <w:rsid w:val="00470594"/>
    <w:rsid w:val="00471002"/>
    <w:rsid w:val="00476286"/>
    <w:rsid w:val="00482AA1"/>
    <w:rsid w:val="00483AD2"/>
    <w:rsid w:val="00486C3B"/>
    <w:rsid w:val="00487DED"/>
    <w:rsid w:val="00495C9A"/>
    <w:rsid w:val="004A065D"/>
    <w:rsid w:val="004A2E47"/>
    <w:rsid w:val="004A3DB9"/>
    <w:rsid w:val="004A4E0B"/>
    <w:rsid w:val="004A6769"/>
    <w:rsid w:val="004B0DE8"/>
    <w:rsid w:val="004B2B0F"/>
    <w:rsid w:val="004B5061"/>
    <w:rsid w:val="004C3BB8"/>
    <w:rsid w:val="004C6F2E"/>
    <w:rsid w:val="004D0B91"/>
    <w:rsid w:val="004E1B14"/>
    <w:rsid w:val="004E46D2"/>
    <w:rsid w:val="004E4D6E"/>
    <w:rsid w:val="004E746E"/>
    <w:rsid w:val="004F431E"/>
    <w:rsid w:val="0050471A"/>
    <w:rsid w:val="0050483F"/>
    <w:rsid w:val="005048BE"/>
    <w:rsid w:val="00506FBA"/>
    <w:rsid w:val="005147F4"/>
    <w:rsid w:val="00515BB7"/>
    <w:rsid w:val="00522A45"/>
    <w:rsid w:val="005270BD"/>
    <w:rsid w:val="0053209B"/>
    <w:rsid w:val="00532F53"/>
    <w:rsid w:val="005334E8"/>
    <w:rsid w:val="0054226D"/>
    <w:rsid w:val="00547076"/>
    <w:rsid w:val="0054771F"/>
    <w:rsid w:val="00550577"/>
    <w:rsid w:val="0055220B"/>
    <w:rsid w:val="00553811"/>
    <w:rsid w:val="00554760"/>
    <w:rsid w:val="0055660E"/>
    <w:rsid w:val="00560011"/>
    <w:rsid w:val="0056172E"/>
    <w:rsid w:val="005629C7"/>
    <w:rsid w:val="0056329D"/>
    <w:rsid w:val="00565646"/>
    <w:rsid w:val="00565A93"/>
    <w:rsid w:val="00565F2D"/>
    <w:rsid w:val="00566B1D"/>
    <w:rsid w:val="00573B53"/>
    <w:rsid w:val="00583276"/>
    <w:rsid w:val="00584F90"/>
    <w:rsid w:val="00590032"/>
    <w:rsid w:val="00590626"/>
    <w:rsid w:val="0059424C"/>
    <w:rsid w:val="00596214"/>
    <w:rsid w:val="005A1D50"/>
    <w:rsid w:val="005A293A"/>
    <w:rsid w:val="005B0888"/>
    <w:rsid w:val="005B2D81"/>
    <w:rsid w:val="005C0BA6"/>
    <w:rsid w:val="005C48C6"/>
    <w:rsid w:val="005D1A9C"/>
    <w:rsid w:val="005D30BA"/>
    <w:rsid w:val="005D5538"/>
    <w:rsid w:val="005D7BAC"/>
    <w:rsid w:val="005E5B2E"/>
    <w:rsid w:val="005E6217"/>
    <w:rsid w:val="005F018E"/>
    <w:rsid w:val="005F0A6C"/>
    <w:rsid w:val="005F6EC4"/>
    <w:rsid w:val="00600E4F"/>
    <w:rsid w:val="0060653B"/>
    <w:rsid w:val="0060793B"/>
    <w:rsid w:val="00607B4B"/>
    <w:rsid w:val="00611EB3"/>
    <w:rsid w:val="00614A2C"/>
    <w:rsid w:val="006206F8"/>
    <w:rsid w:val="0062442E"/>
    <w:rsid w:val="006253DB"/>
    <w:rsid w:val="00632E15"/>
    <w:rsid w:val="00634FD8"/>
    <w:rsid w:val="006356E4"/>
    <w:rsid w:val="00636064"/>
    <w:rsid w:val="00636AA6"/>
    <w:rsid w:val="006374EF"/>
    <w:rsid w:val="0064480C"/>
    <w:rsid w:val="00644C9A"/>
    <w:rsid w:val="00645160"/>
    <w:rsid w:val="00645419"/>
    <w:rsid w:val="00646369"/>
    <w:rsid w:val="00647DAD"/>
    <w:rsid w:val="00651CC4"/>
    <w:rsid w:val="00652A3F"/>
    <w:rsid w:val="00653A90"/>
    <w:rsid w:val="00654333"/>
    <w:rsid w:val="00654CE2"/>
    <w:rsid w:val="00657F7B"/>
    <w:rsid w:val="00660F98"/>
    <w:rsid w:val="0066373F"/>
    <w:rsid w:val="0066472D"/>
    <w:rsid w:val="00665F71"/>
    <w:rsid w:val="00667292"/>
    <w:rsid w:val="00671AD2"/>
    <w:rsid w:val="00675976"/>
    <w:rsid w:val="00677117"/>
    <w:rsid w:val="00680ADA"/>
    <w:rsid w:val="00682665"/>
    <w:rsid w:val="006843A8"/>
    <w:rsid w:val="006846CD"/>
    <w:rsid w:val="0068576F"/>
    <w:rsid w:val="00687EA6"/>
    <w:rsid w:val="006935F3"/>
    <w:rsid w:val="00693D2E"/>
    <w:rsid w:val="00695719"/>
    <w:rsid w:val="006964CF"/>
    <w:rsid w:val="00696996"/>
    <w:rsid w:val="006A338B"/>
    <w:rsid w:val="006A3ECB"/>
    <w:rsid w:val="006B0B34"/>
    <w:rsid w:val="006B17F9"/>
    <w:rsid w:val="006B28B1"/>
    <w:rsid w:val="006B2B9B"/>
    <w:rsid w:val="006B3535"/>
    <w:rsid w:val="006B400C"/>
    <w:rsid w:val="006B4581"/>
    <w:rsid w:val="006C2FED"/>
    <w:rsid w:val="006C654B"/>
    <w:rsid w:val="006C6650"/>
    <w:rsid w:val="006C7FF3"/>
    <w:rsid w:val="006D0E99"/>
    <w:rsid w:val="006D1372"/>
    <w:rsid w:val="006D2E29"/>
    <w:rsid w:val="006D43D4"/>
    <w:rsid w:val="006E0BE0"/>
    <w:rsid w:val="006E2D05"/>
    <w:rsid w:val="006E6924"/>
    <w:rsid w:val="006F75B1"/>
    <w:rsid w:val="00700261"/>
    <w:rsid w:val="007046EC"/>
    <w:rsid w:val="00704703"/>
    <w:rsid w:val="007051CC"/>
    <w:rsid w:val="00706E30"/>
    <w:rsid w:val="00707B2F"/>
    <w:rsid w:val="007115EF"/>
    <w:rsid w:val="00715B55"/>
    <w:rsid w:val="00715C63"/>
    <w:rsid w:val="00716149"/>
    <w:rsid w:val="00723B75"/>
    <w:rsid w:val="00724449"/>
    <w:rsid w:val="00727BE8"/>
    <w:rsid w:val="00731173"/>
    <w:rsid w:val="007312EA"/>
    <w:rsid w:val="00732329"/>
    <w:rsid w:val="0073254F"/>
    <w:rsid w:val="007343AC"/>
    <w:rsid w:val="0073460F"/>
    <w:rsid w:val="00734A6D"/>
    <w:rsid w:val="00736751"/>
    <w:rsid w:val="00741BFA"/>
    <w:rsid w:val="00742773"/>
    <w:rsid w:val="00743507"/>
    <w:rsid w:val="0074624E"/>
    <w:rsid w:val="00746344"/>
    <w:rsid w:val="0074641C"/>
    <w:rsid w:val="00747BF6"/>
    <w:rsid w:val="0075279B"/>
    <w:rsid w:val="00752F17"/>
    <w:rsid w:val="00753DD1"/>
    <w:rsid w:val="00754A32"/>
    <w:rsid w:val="00754E7F"/>
    <w:rsid w:val="007628E2"/>
    <w:rsid w:val="0076339E"/>
    <w:rsid w:val="00764EC0"/>
    <w:rsid w:val="007652B7"/>
    <w:rsid w:val="007663CE"/>
    <w:rsid w:val="0076719E"/>
    <w:rsid w:val="00767580"/>
    <w:rsid w:val="0077526B"/>
    <w:rsid w:val="00780944"/>
    <w:rsid w:val="00780B2E"/>
    <w:rsid w:val="00781920"/>
    <w:rsid w:val="00785BC4"/>
    <w:rsid w:val="00790610"/>
    <w:rsid w:val="00793876"/>
    <w:rsid w:val="0079525F"/>
    <w:rsid w:val="0079765E"/>
    <w:rsid w:val="007A0DB7"/>
    <w:rsid w:val="007A20CD"/>
    <w:rsid w:val="007A4ADF"/>
    <w:rsid w:val="007B21D7"/>
    <w:rsid w:val="007B2529"/>
    <w:rsid w:val="007B4E17"/>
    <w:rsid w:val="007B7C3B"/>
    <w:rsid w:val="007C2461"/>
    <w:rsid w:val="007C37CA"/>
    <w:rsid w:val="007C4BFC"/>
    <w:rsid w:val="007D065F"/>
    <w:rsid w:val="007D13A9"/>
    <w:rsid w:val="007D408B"/>
    <w:rsid w:val="007D4A5C"/>
    <w:rsid w:val="007D4A69"/>
    <w:rsid w:val="007D5F90"/>
    <w:rsid w:val="007D7A14"/>
    <w:rsid w:val="007E3B54"/>
    <w:rsid w:val="007F1038"/>
    <w:rsid w:val="007F10B2"/>
    <w:rsid w:val="007F4201"/>
    <w:rsid w:val="007F48BA"/>
    <w:rsid w:val="007F58B4"/>
    <w:rsid w:val="007F6098"/>
    <w:rsid w:val="007F7918"/>
    <w:rsid w:val="007F7EB5"/>
    <w:rsid w:val="00801F5D"/>
    <w:rsid w:val="008022AD"/>
    <w:rsid w:val="008104E3"/>
    <w:rsid w:val="00817748"/>
    <w:rsid w:val="0082288A"/>
    <w:rsid w:val="00822B65"/>
    <w:rsid w:val="00823522"/>
    <w:rsid w:val="008250BC"/>
    <w:rsid w:val="00832030"/>
    <w:rsid w:val="00832236"/>
    <w:rsid w:val="00834025"/>
    <w:rsid w:val="00842E4F"/>
    <w:rsid w:val="00843017"/>
    <w:rsid w:val="00846888"/>
    <w:rsid w:val="00857CB7"/>
    <w:rsid w:val="00860211"/>
    <w:rsid w:val="0086438C"/>
    <w:rsid w:val="0086451B"/>
    <w:rsid w:val="00866C55"/>
    <w:rsid w:val="0086704F"/>
    <w:rsid w:val="008712C8"/>
    <w:rsid w:val="008754BB"/>
    <w:rsid w:val="00876E61"/>
    <w:rsid w:val="00883F25"/>
    <w:rsid w:val="00885E17"/>
    <w:rsid w:val="008930E0"/>
    <w:rsid w:val="008942B9"/>
    <w:rsid w:val="008A0A96"/>
    <w:rsid w:val="008A0D14"/>
    <w:rsid w:val="008A5219"/>
    <w:rsid w:val="008A5B55"/>
    <w:rsid w:val="008B3963"/>
    <w:rsid w:val="008B3C5E"/>
    <w:rsid w:val="008B4734"/>
    <w:rsid w:val="008B66A6"/>
    <w:rsid w:val="008B68FC"/>
    <w:rsid w:val="008C3921"/>
    <w:rsid w:val="008C402E"/>
    <w:rsid w:val="008C4B27"/>
    <w:rsid w:val="008C59DE"/>
    <w:rsid w:val="008D0F4B"/>
    <w:rsid w:val="008D201A"/>
    <w:rsid w:val="008D31F3"/>
    <w:rsid w:val="008D4602"/>
    <w:rsid w:val="008D5D44"/>
    <w:rsid w:val="008D6999"/>
    <w:rsid w:val="008E0F27"/>
    <w:rsid w:val="008E1039"/>
    <w:rsid w:val="008E32F1"/>
    <w:rsid w:val="008E3FBD"/>
    <w:rsid w:val="008E55C7"/>
    <w:rsid w:val="008F22B9"/>
    <w:rsid w:val="008F2922"/>
    <w:rsid w:val="008F3931"/>
    <w:rsid w:val="008F764E"/>
    <w:rsid w:val="00900A7C"/>
    <w:rsid w:val="00903447"/>
    <w:rsid w:val="00903F57"/>
    <w:rsid w:val="00910846"/>
    <w:rsid w:val="0091087C"/>
    <w:rsid w:val="00914400"/>
    <w:rsid w:val="00917E84"/>
    <w:rsid w:val="0092060B"/>
    <w:rsid w:val="00921B86"/>
    <w:rsid w:val="00923A7E"/>
    <w:rsid w:val="009274F8"/>
    <w:rsid w:val="0093558D"/>
    <w:rsid w:val="009428AA"/>
    <w:rsid w:val="00943B4C"/>
    <w:rsid w:val="00944CE7"/>
    <w:rsid w:val="00946A48"/>
    <w:rsid w:val="00947711"/>
    <w:rsid w:val="00952D56"/>
    <w:rsid w:val="00953A06"/>
    <w:rsid w:val="009623C1"/>
    <w:rsid w:val="00962731"/>
    <w:rsid w:val="00964B10"/>
    <w:rsid w:val="00970562"/>
    <w:rsid w:val="00974DCE"/>
    <w:rsid w:val="009767B7"/>
    <w:rsid w:val="009803FA"/>
    <w:rsid w:val="00984E5C"/>
    <w:rsid w:val="00991EC8"/>
    <w:rsid w:val="0099383D"/>
    <w:rsid w:val="00993909"/>
    <w:rsid w:val="009A1142"/>
    <w:rsid w:val="009A176E"/>
    <w:rsid w:val="009A58C0"/>
    <w:rsid w:val="009B3A6B"/>
    <w:rsid w:val="009B3F9B"/>
    <w:rsid w:val="009B5659"/>
    <w:rsid w:val="009B6890"/>
    <w:rsid w:val="009B6C0B"/>
    <w:rsid w:val="009B735C"/>
    <w:rsid w:val="009B7941"/>
    <w:rsid w:val="009C25A0"/>
    <w:rsid w:val="009C306C"/>
    <w:rsid w:val="009C32E3"/>
    <w:rsid w:val="009C33F1"/>
    <w:rsid w:val="009C5809"/>
    <w:rsid w:val="009C5E13"/>
    <w:rsid w:val="009C7CDE"/>
    <w:rsid w:val="009C7D05"/>
    <w:rsid w:val="009D03E2"/>
    <w:rsid w:val="009D12FA"/>
    <w:rsid w:val="009D3514"/>
    <w:rsid w:val="009D358E"/>
    <w:rsid w:val="009D6B33"/>
    <w:rsid w:val="009D768C"/>
    <w:rsid w:val="009D782D"/>
    <w:rsid w:val="009E311B"/>
    <w:rsid w:val="009E369A"/>
    <w:rsid w:val="009E6863"/>
    <w:rsid w:val="009F0974"/>
    <w:rsid w:val="009F753F"/>
    <w:rsid w:val="009F7B2E"/>
    <w:rsid w:val="00A01FCD"/>
    <w:rsid w:val="00A0422E"/>
    <w:rsid w:val="00A05F02"/>
    <w:rsid w:val="00A06E7D"/>
    <w:rsid w:val="00A07D46"/>
    <w:rsid w:val="00A13ED9"/>
    <w:rsid w:val="00A166AF"/>
    <w:rsid w:val="00A208BC"/>
    <w:rsid w:val="00A20C65"/>
    <w:rsid w:val="00A20F4D"/>
    <w:rsid w:val="00A21007"/>
    <w:rsid w:val="00A27803"/>
    <w:rsid w:val="00A30987"/>
    <w:rsid w:val="00A37FE0"/>
    <w:rsid w:val="00A42F24"/>
    <w:rsid w:val="00A436E9"/>
    <w:rsid w:val="00A4597B"/>
    <w:rsid w:val="00A4630E"/>
    <w:rsid w:val="00A52ECC"/>
    <w:rsid w:val="00A601A4"/>
    <w:rsid w:val="00A6256A"/>
    <w:rsid w:val="00A62B1C"/>
    <w:rsid w:val="00A62E92"/>
    <w:rsid w:val="00A6378C"/>
    <w:rsid w:val="00A6580A"/>
    <w:rsid w:val="00A6628C"/>
    <w:rsid w:val="00A7000E"/>
    <w:rsid w:val="00A752DB"/>
    <w:rsid w:val="00A7681E"/>
    <w:rsid w:val="00A85E8A"/>
    <w:rsid w:val="00AA4DC6"/>
    <w:rsid w:val="00AA683B"/>
    <w:rsid w:val="00AB29BF"/>
    <w:rsid w:val="00AC0586"/>
    <w:rsid w:val="00AD0053"/>
    <w:rsid w:val="00AD1617"/>
    <w:rsid w:val="00AD2CC3"/>
    <w:rsid w:val="00AD3D5C"/>
    <w:rsid w:val="00AD727E"/>
    <w:rsid w:val="00AD74C4"/>
    <w:rsid w:val="00AE01F1"/>
    <w:rsid w:val="00AE0DCE"/>
    <w:rsid w:val="00AE1070"/>
    <w:rsid w:val="00AE2E96"/>
    <w:rsid w:val="00AF187B"/>
    <w:rsid w:val="00AF573D"/>
    <w:rsid w:val="00B009F2"/>
    <w:rsid w:val="00B02439"/>
    <w:rsid w:val="00B02828"/>
    <w:rsid w:val="00B048F7"/>
    <w:rsid w:val="00B1110F"/>
    <w:rsid w:val="00B14493"/>
    <w:rsid w:val="00B17627"/>
    <w:rsid w:val="00B26E1B"/>
    <w:rsid w:val="00B27C67"/>
    <w:rsid w:val="00B3132B"/>
    <w:rsid w:val="00B32EA0"/>
    <w:rsid w:val="00B3467A"/>
    <w:rsid w:val="00B35E87"/>
    <w:rsid w:val="00B402F6"/>
    <w:rsid w:val="00B419D6"/>
    <w:rsid w:val="00B43318"/>
    <w:rsid w:val="00B44C77"/>
    <w:rsid w:val="00B52994"/>
    <w:rsid w:val="00B532F9"/>
    <w:rsid w:val="00B53C25"/>
    <w:rsid w:val="00B54A93"/>
    <w:rsid w:val="00B56B56"/>
    <w:rsid w:val="00B573BF"/>
    <w:rsid w:val="00B57E85"/>
    <w:rsid w:val="00B610AB"/>
    <w:rsid w:val="00B63C35"/>
    <w:rsid w:val="00B6496D"/>
    <w:rsid w:val="00B6608D"/>
    <w:rsid w:val="00B664EB"/>
    <w:rsid w:val="00B67E61"/>
    <w:rsid w:val="00B77D4F"/>
    <w:rsid w:val="00B80C0C"/>
    <w:rsid w:val="00B80E56"/>
    <w:rsid w:val="00B817C9"/>
    <w:rsid w:val="00B8325C"/>
    <w:rsid w:val="00B85257"/>
    <w:rsid w:val="00B855ED"/>
    <w:rsid w:val="00B92793"/>
    <w:rsid w:val="00B94833"/>
    <w:rsid w:val="00B9489A"/>
    <w:rsid w:val="00B9588E"/>
    <w:rsid w:val="00B95B5F"/>
    <w:rsid w:val="00B972E0"/>
    <w:rsid w:val="00BA3FAB"/>
    <w:rsid w:val="00BA6489"/>
    <w:rsid w:val="00BA6C6E"/>
    <w:rsid w:val="00BB0273"/>
    <w:rsid w:val="00BB1C5A"/>
    <w:rsid w:val="00BC0F7D"/>
    <w:rsid w:val="00BD1302"/>
    <w:rsid w:val="00BD4372"/>
    <w:rsid w:val="00BD61E4"/>
    <w:rsid w:val="00BE7E23"/>
    <w:rsid w:val="00BF1C27"/>
    <w:rsid w:val="00BF582A"/>
    <w:rsid w:val="00BF69D9"/>
    <w:rsid w:val="00C03FAD"/>
    <w:rsid w:val="00C05A28"/>
    <w:rsid w:val="00C07C34"/>
    <w:rsid w:val="00C13A0A"/>
    <w:rsid w:val="00C146CD"/>
    <w:rsid w:val="00C1632E"/>
    <w:rsid w:val="00C2296A"/>
    <w:rsid w:val="00C25592"/>
    <w:rsid w:val="00C25F8A"/>
    <w:rsid w:val="00C2622E"/>
    <w:rsid w:val="00C265C0"/>
    <w:rsid w:val="00C31619"/>
    <w:rsid w:val="00C3377D"/>
    <w:rsid w:val="00C3474F"/>
    <w:rsid w:val="00C367DA"/>
    <w:rsid w:val="00C42AF7"/>
    <w:rsid w:val="00C45EDC"/>
    <w:rsid w:val="00C460CA"/>
    <w:rsid w:val="00C51A3A"/>
    <w:rsid w:val="00C52803"/>
    <w:rsid w:val="00C577FD"/>
    <w:rsid w:val="00C7083C"/>
    <w:rsid w:val="00C71A66"/>
    <w:rsid w:val="00C71C7D"/>
    <w:rsid w:val="00C740E7"/>
    <w:rsid w:val="00C76328"/>
    <w:rsid w:val="00C8078D"/>
    <w:rsid w:val="00C8158C"/>
    <w:rsid w:val="00C8482B"/>
    <w:rsid w:val="00C9310B"/>
    <w:rsid w:val="00C95A9E"/>
    <w:rsid w:val="00C978DB"/>
    <w:rsid w:val="00CA126C"/>
    <w:rsid w:val="00CA13C0"/>
    <w:rsid w:val="00CA75FC"/>
    <w:rsid w:val="00CB1DDD"/>
    <w:rsid w:val="00CB273E"/>
    <w:rsid w:val="00CB3D86"/>
    <w:rsid w:val="00CB7576"/>
    <w:rsid w:val="00CC21CA"/>
    <w:rsid w:val="00CC3B63"/>
    <w:rsid w:val="00CD658A"/>
    <w:rsid w:val="00CE2B3B"/>
    <w:rsid w:val="00CE3411"/>
    <w:rsid w:val="00CE5228"/>
    <w:rsid w:val="00CE54D3"/>
    <w:rsid w:val="00CE59DB"/>
    <w:rsid w:val="00CE7914"/>
    <w:rsid w:val="00CE7D27"/>
    <w:rsid w:val="00CF5D23"/>
    <w:rsid w:val="00CF7F49"/>
    <w:rsid w:val="00D0269D"/>
    <w:rsid w:val="00D03517"/>
    <w:rsid w:val="00D04FA0"/>
    <w:rsid w:val="00D07028"/>
    <w:rsid w:val="00D129C8"/>
    <w:rsid w:val="00D1664F"/>
    <w:rsid w:val="00D2139F"/>
    <w:rsid w:val="00D31289"/>
    <w:rsid w:val="00D32CAD"/>
    <w:rsid w:val="00D40B43"/>
    <w:rsid w:val="00D4206B"/>
    <w:rsid w:val="00D44F92"/>
    <w:rsid w:val="00D44FF4"/>
    <w:rsid w:val="00D460BC"/>
    <w:rsid w:val="00D47778"/>
    <w:rsid w:val="00D52F6C"/>
    <w:rsid w:val="00D572E1"/>
    <w:rsid w:val="00D57F57"/>
    <w:rsid w:val="00D57FC9"/>
    <w:rsid w:val="00D64175"/>
    <w:rsid w:val="00D70279"/>
    <w:rsid w:val="00D7421A"/>
    <w:rsid w:val="00D7461F"/>
    <w:rsid w:val="00D778D0"/>
    <w:rsid w:val="00D835CE"/>
    <w:rsid w:val="00D87ABF"/>
    <w:rsid w:val="00D91ED6"/>
    <w:rsid w:val="00D944B1"/>
    <w:rsid w:val="00D94DB3"/>
    <w:rsid w:val="00D975F2"/>
    <w:rsid w:val="00DA0B09"/>
    <w:rsid w:val="00DA3721"/>
    <w:rsid w:val="00DA5932"/>
    <w:rsid w:val="00DB1F03"/>
    <w:rsid w:val="00DC1173"/>
    <w:rsid w:val="00DD1346"/>
    <w:rsid w:val="00DD1EFA"/>
    <w:rsid w:val="00DD2269"/>
    <w:rsid w:val="00DD2F63"/>
    <w:rsid w:val="00DE469B"/>
    <w:rsid w:val="00DF0A98"/>
    <w:rsid w:val="00DF1705"/>
    <w:rsid w:val="00DF278F"/>
    <w:rsid w:val="00DF6302"/>
    <w:rsid w:val="00DF6FED"/>
    <w:rsid w:val="00E000AF"/>
    <w:rsid w:val="00E0218B"/>
    <w:rsid w:val="00E0236B"/>
    <w:rsid w:val="00E02523"/>
    <w:rsid w:val="00E02AC0"/>
    <w:rsid w:val="00E02FC5"/>
    <w:rsid w:val="00E07A23"/>
    <w:rsid w:val="00E118DC"/>
    <w:rsid w:val="00E11A3E"/>
    <w:rsid w:val="00E14BAB"/>
    <w:rsid w:val="00E23895"/>
    <w:rsid w:val="00E24D61"/>
    <w:rsid w:val="00E25640"/>
    <w:rsid w:val="00E25715"/>
    <w:rsid w:val="00E25D6E"/>
    <w:rsid w:val="00E262CD"/>
    <w:rsid w:val="00E26C8A"/>
    <w:rsid w:val="00E3341F"/>
    <w:rsid w:val="00E34588"/>
    <w:rsid w:val="00E3488C"/>
    <w:rsid w:val="00E363B8"/>
    <w:rsid w:val="00E4221E"/>
    <w:rsid w:val="00E42472"/>
    <w:rsid w:val="00E43C52"/>
    <w:rsid w:val="00E4430E"/>
    <w:rsid w:val="00E4484D"/>
    <w:rsid w:val="00E466B6"/>
    <w:rsid w:val="00E50A02"/>
    <w:rsid w:val="00E513FD"/>
    <w:rsid w:val="00E52FE8"/>
    <w:rsid w:val="00E54BD9"/>
    <w:rsid w:val="00E56296"/>
    <w:rsid w:val="00E56A0B"/>
    <w:rsid w:val="00E571C3"/>
    <w:rsid w:val="00E6151A"/>
    <w:rsid w:val="00E618A5"/>
    <w:rsid w:val="00E628D1"/>
    <w:rsid w:val="00E64175"/>
    <w:rsid w:val="00E67099"/>
    <w:rsid w:val="00E74B48"/>
    <w:rsid w:val="00E77A8F"/>
    <w:rsid w:val="00E83851"/>
    <w:rsid w:val="00E85F9B"/>
    <w:rsid w:val="00E90DFC"/>
    <w:rsid w:val="00E91534"/>
    <w:rsid w:val="00E924E8"/>
    <w:rsid w:val="00E92ECB"/>
    <w:rsid w:val="00E9396A"/>
    <w:rsid w:val="00E944FB"/>
    <w:rsid w:val="00E95803"/>
    <w:rsid w:val="00E95A04"/>
    <w:rsid w:val="00E963B1"/>
    <w:rsid w:val="00E96E56"/>
    <w:rsid w:val="00E97C2C"/>
    <w:rsid w:val="00E97E19"/>
    <w:rsid w:val="00EA1D04"/>
    <w:rsid w:val="00EA3654"/>
    <w:rsid w:val="00EB108E"/>
    <w:rsid w:val="00EB3F71"/>
    <w:rsid w:val="00EB4132"/>
    <w:rsid w:val="00EB5447"/>
    <w:rsid w:val="00EC083D"/>
    <w:rsid w:val="00EC101F"/>
    <w:rsid w:val="00EC48FB"/>
    <w:rsid w:val="00EC5024"/>
    <w:rsid w:val="00ED0C79"/>
    <w:rsid w:val="00ED4BBF"/>
    <w:rsid w:val="00EE5670"/>
    <w:rsid w:val="00EE6EC3"/>
    <w:rsid w:val="00EF5313"/>
    <w:rsid w:val="00F005A7"/>
    <w:rsid w:val="00F0227A"/>
    <w:rsid w:val="00F07A9D"/>
    <w:rsid w:val="00F1045A"/>
    <w:rsid w:val="00F17116"/>
    <w:rsid w:val="00F2034D"/>
    <w:rsid w:val="00F21968"/>
    <w:rsid w:val="00F25BD2"/>
    <w:rsid w:val="00F35733"/>
    <w:rsid w:val="00F35E72"/>
    <w:rsid w:val="00F3685D"/>
    <w:rsid w:val="00F4381C"/>
    <w:rsid w:val="00F43D66"/>
    <w:rsid w:val="00F4447B"/>
    <w:rsid w:val="00F46BD6"/>
    <w:rsid w:val="00F50298"/>
    <w:rsid w:val="00F54EBC"/>
    <w:rsid w:val="00F551FD"/>
    <w:rsid w:val="00F55D97"/>
    <w:rsid w:val="00F573E8"/>
    <w:rsid w:val="00F61716"/>
    <w:rsid w:val="00F63D88"/>
    <w:rsid w:val="00F70B82"/>
    <w:rsid w:val="00F70CB2"/>
    <w:rsid w:val="00F742F4"/>
    <w:rsid w:val="00F743BD"/>
    <w:rsid w:val="00F74B37"/>
    <w:rsid w:val="00F76AE0"/>
    <w:rsid w:val="00F77BC0"/>
    <w:rsid w:val="00F801ED"/>
    <w:rsid w:val="00F82C09"/>
    <w:rsid w:val="00F94959"/>
    <w:rsid w:val="00F95A09"/>
    <w:rsid w:val="00FA12E0"/>
    <w:rsid w:val="00FA215D"/>
    <w:rsid w:val="00FA4C5D"/>
    <w:rsid w:val="00FA7CB8"/>
    <w:rsid w:val="00FB1C9A"/>
    <w:rsid w:val="00FB3716"/>
    <w:rsid w:val="00FB48AA"/>
    <w:rsid w:val="00FB5345"/>
    <w:rsid w:val="00FC0B53"/>
    <w:rsid w:val="00FC0EA1"/>
    <w:rsid w:val="00FC109E"/>
    <w:rsid w:val="00FC23CC"/>
    <w:rsid w:val="00FD0352"/>
    <w:rsid w:val="00FD0539"/>
    <w:rsid w:val="00FD15E3"/>
    <w:rsid w:val="00FD2F44"/>
    <w:rsid w:val="00FD378A"/>
    <w:rsid w:val="00FD5B7E"/>
    <w:rsid w:val="00FD5C38"/>
    <w:rsid w:val="00FD6F19"/>
    <w:rsid w:val="00FE1914"/>
    <w:rsid w:val="00FF07D9"/>
    <w:rsid w:val="00FF1E2D"/>
    <w:rsid w:val="00FF3484"/>
    <w:rsid w:val="00FF4EC3"/>
    <w:rsid w:val="00FF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58841269-A542-4A4D-AC15-728A2B26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20"/>
    <w:rPr>
      <w:sz w:val="24"/>
    </w:rPr>
  </w:style>
  <w:style w:type="paragraph" w:styleId="Heading1">
    <w:name w:val="heading 1"/>
    <w:basedOn w:val="Normal"/>
    <w:next w:val="Normal"/>
    <w:qFormat/>
    <w:rsid w:val="0056172E"/>
    <w:pPr>
      <w:keepNext/>
      <w:ind w:left="720"/>
      <w:outlineLvl w:val="0"/>
    </w:pPr>
    <w:rPr>
      <w:color w:val="00FF00"/>
      <w:sz w:val="40"/>
    </w:rPr>
  </w:style>
  <w:style w:type="paragraph" w:styleId="Heading2">
    <w:name w:val="heading 2"/>
    <w:basedOn w:val="Normal"/>
    <w:next w:val="Normal"/>
    <w:qFormat/>
    <w:rsid w:val="0056172E"/>
    <w:pPr>
      <w:keepNext/>
      <w:outlineLvl w:val="1"/>
    </w:pPr>
    <w:rPr>
      <w:color w:val="0000FF"/>
      <w:sz w:val="28"/>
    </w:rPr>
  </w:style>
  <w:style w:type="paragraph" w:styleId="Heading3">
    <w:name w:val="heading 3"/>
    <w:basedOn w:val="Normal"/>
    <w:next w:val="Normal"/>
    <w:qFormat/>
    <w:rsid w:val="0056172E"/>
    <w:pPr>
      <w:keepNext/>
      <w:spacing w:before="240" w:after="60"/>
      <w:outlineLvl w:val="2"/>
    </w:pPr>
    <w:rPr>
      <w:rFonts w:ascii="Arial" w:hAnsi="Arial"/>
      <w:i/>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172E"/>
    <w:pPr>
      <w:jc w:val="both"/>
    </w:pPr>
  </w:style>
  <w:style w:type="table" w:styleId="TableGrid">
    <w:name w:val="Table Grid"/>
    <w:basedOn w:val="TableNormal"/>
    <w:rsid w:val="00305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45173"/>
    <w:pPr>
      <w:tabs>
        <w:tab w:val="center" w:pos="4320"/>
        <w:tab w:val="right" w:pos="8640"/>
      </w:tabs>
    </w:pPr>
  </w:style>
  <w:style w:type="paragraph" w:styleId="Footer">
    <w:name w:val="footer"/>
    <w:basedOn w:val="Normal"/>
    <w:rsid w:val="00045173"/>
    <w:pPr>
      <w:tabs>
        <w:tab w:val="center" w:pos="4320"/>
        <w:tab w:val="right" w:pos="8640"/>
      </w:tabs>
    </w:pPr>
  </w:style>
  <w:style w:type="character" w:styleId="PageNumber">
    <w:name w:val="page number"/>
    <w:basedOn w:val="DefaultParagraphFont"/>
    <w:rsid w:val="00045173"/>
  </w:style>
  <w:style w:type="paragraph" w:styleId="ListParagraph">
    <w:name w:val="List Paragraph"/>
    <w:basedOn w:val="Normal"/>
    <w:uiPriority w:val="34"/>
    <w:qFormat/>
    <w:rsid w:val="00402801"/>
    <w:pPr>
      <w:ind w:left="720"/>
      <w:contextualSpacing/>
    </w:pPr>
  </w:style>
  <w:style w:type="paragraph" w:styleId="BalloonText">
    <w:name w:val="Balloon Text"/>
    <w:basedOn w:val="Normal"/>
    <w:link w:val="BalloonTextChar"/>
    <w:semiHidden/>
    <w:unhideWhenUsed/>
    <w:rsid w:val="007F10B2"/>
    <w:rPr>
      <w:rFonts w:ascii="Segoe UI" w:hAnsi="Segoe UI" w:cs="Segoe UI"/>
      <w:sz w:val="18"/>
      <w:szCs w:val="18"/>
    </w:rPr>
  </w:style>
  <w:style w:type="character" w:customStyle="1" w:styleId="BalloonTextChar">
    <w:name w:val="Balloon Text Char"/>
    <w:basedOn w:val="DefaultParagraphFont"/>
    <w:link w:val="BalloonText"/>
    <w:semiHidden/>
    <w:rsid w:val="007F10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AE1C4-0340-45AE-82F0-640DF163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Brady</dc:creator>
  <cp:keywords/>
  <dc:description/>
  <cp:lastModifiedBy>Chris Brady</cp:lastModifiedBy>
  <cp:revision>8</cp:revision>
  <cp:lastPrinted>2015-05-21T19:53:00Z</cp:lastPrinted>
  <dcterms:created xsi:type="dcterms:W3CDTF">2016-03-09T20:36:00Z</dcterms:created>
  <dcterms:modified xsi:type="dcterms:W3CDTF">2016-03-10T14:02:00Z</dcterms:modified>
</cp:coreProperties>
</file>